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491"/>
        <w:gridCol w:w="5149"/>
      </w:tblGrid>
      <w:tr>
        <w:tblPrEx>
          <w:tblW w:w="5000" w:type="pct"/>
          <w:jc w:val="left"/>
          <w:tblCellMar>
            <w:top w:w="0" w:type="dxa"/>
            <w:left w:w="0" w:type="dxa"/>
            <w:bottom w:w="0" w:type="dxa"/>
            <w:right w:w="0" w:type="dxa"/>
          </w:tblCellMar>
        </w:tblPrEx>
        <w:trPr>
          <w:jc w:val="left"/>
        </w:trPr>
        <w:tc>
          <w:tcPr>
            <w:tcW w:w="2020"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NGÂN HÀNG NHÀ NƯỚC</w:t>
            </w:r>
            <w:r>
              <w:rPr>
                <w:b/>
                <w:bCs/>
                <w:rtl w:val="0"/>
              </w:rPr>
              <w:br/>
            </w:r>
            <w:r>
              <w:rPr>
                <w:b/>
                <w:bCs/>
                <w:rtl w:val="0"/>
              </w:rPr>
              <w:t>VIỆT NAM</w:t>
            </w:r>
            <w:r>
              <w:rPr>
                <w:b/>
                <w:bCs/>
                <w:rtl w:val="0"/>
              </w:rPr>
              <w:br/>
            </w:r>
            <w:r>
              <w:rPr>
                <w:b/>
                <w:bCs/>
                <w:rtl w:val="0"/>
              </w:rPr>
              <w:t>-------</w:t>
            </w:r>
          </w:p>
        </w:tc>
        <w:tc>
          <w:tcPr>
            <w:tcW w:w="2980"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2020" w:type="pct"/>
            <w:shd w:val="clear" w:color="auto" w:fill="auto"/>
            <w:tcMar>
              <w:top w:w="0" w:type="dxa"/>
              <w:left w:w="0" w:type="dxa"/>
              <w:bottom w:w="0" w:type="dxa"/>
              <w:right w:w="0" w:type="dxa"/>
            </w:tcMar>
          </w:tcPr>
          <w:p>
            <w:pPr>
              <w:bidi w:val="0"/>
              <w:spacing w:before="120" w:beforeAutospacing="0" w:after="0" w:afterAutospacing="0"/>
              <w:jc w:val="center"/>
              <w:rPr>
                <w:rtl w:val="0"/>
              </w:rPr>
            </w:pPr>
            <w:r>
              <w:rPr>
                <w:rtl w:val="0"/>
              </w:rPr>
              <w:t>Số: 47/2018/TT-NHNN</w:t>
            </w:r>
          </w:p>
        </w:tc>
        <w:tc>
          <w:tcPr>
            <w:tcW w:w="2980" w:type="pct"/>
            <w:shd w:val="clear" w:color="auto" w:fill="auto"/>
            <w:tcMar>
              <w:top w:w="0" w:type="dxa"/>
              <w:left w:w="0" w:type="dxa"/>
              <w:bottom w:w="0" w:type="dxa"/>
              <w:right w:w="0" w:type="dxa"/>
            </w:tcMar>
          </w:tcPr>
          <w:p>
            <w:pPr>
              <w:bidi w:val="0"/>
              <w:spacing w:before="120" w:beforeAutospacing="0" w:after="0" w:afterAutospacing="0"/>
              <w:jc w:val="right"/>
              <w:rPr>
                <w:rtl w:val="0"/>
              </w:rPr>
            </w:pPr>
            <w:r>
              <w:rPr>
                <w:i/>
                <w:iCs/>
                <w:rtl w:val="0"/>
              </w:rPr>
              <w:t>Hà Nội, ngày 28 tháng 12 năm 2018</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HÀNG HÓA XUẤT KHẨU, NHẬP KHẨU KÈM THEO MÃ HS THUỘC PHẠM VI QUẢN LÝ CỦA NGÂN HÀNG NHÀ NƯỚC VIỆT NAM TRONG LĨNH VỰC VÀNG</w:t>
      </w:r>
      <w:bookmarkEnd w:id="1"/>
    </w:p>
    <w:p>
      <w:pPr>
        <w:bidi w:val="0"/>
        <w:spacing w:before="120" w:beforeAutospacing="0" w:after="280" w:afterAutospacing="1"/>
      </w:pPr>
      <w:r>
        <w:rPr>
          <w:i/>
          <w:iCs/>
          <w:rtl w:val="0"/>
        </w:rPr>
        <w:t xml:space="preserve">Căn cứ </w:t>
      </w:r>
      <w:bookmarkStart w:id="2" w:name="tvpllink_tggrziuxhl"/>
      <w:r>
        <w:rPr>
          <w:i/>
          <w:iCs/>
          <w:rtl w:val="0"/>
        </w:rPr>
        <w:t>Luật Ngân hàng Nhà nước Việt Nam</w:t>
      </w:r>
      <w:bookmarkEnd w:id="2"/>
      <w:r>
        <w:rPr>
          <w:i/>
          <w:iCs/>
          <w:rtl w:val="0"/>
        </w:rPr>
        <w:t xml:space="preserve"> ngày 16 tháng 6 năm 2010;</w:t>
      </w:r>
    </w:p>
    <w:p>
      <w:pPr>
        <w:bidi w:val="0"/>
        <w:spacing w:before="120" w:beforeAutospacing="0" w:after="280" w:afterAutospacing="1"/>
      </w:pPr>
      <w:r>
        <w:rPr>
          <w:i/>
          <w:iCs/>
          <w:rtl w:val="0"/>
        </w:rPr>
        <w:t xml:space="preserve">Căn cứ </w:t>
      </w:r>
      <w:bookmarkStart w:id="3" w:name="tvpllink_pugiufdkvo"/>
      <w:r>
        <w:rPr>
          <w:i/>
          <w:iCs/>
          <w:rtl w:val="0"/>
        </w:rPr>
        <w:t>Luật quản lý ngoại thương</w:t>
      </w:r>
      <w:bookmarkEnd w:id="3"/>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4" w:name="tvpllink_tpsmoqxyvb"/>
      <w:r>
        <w:rPr>
          <w:i/>
          <w:iCs/>
          <w:rtl w:val="0"/>
        </w:rPr>
        <w:t>16/2017/NĐ-CP</w:t>
      </w:r>
      <w:bookmarkEnd w:id="4"/>
      <w:r>
        <w:rPr>
          <w:i/>
          <w:iCs/>
          <w:rtl w:val="0"/>
        </w:rPr>
        <w:t xml:space="preserve"> ngày 17 tháng 2 năm 20017 của Chính phủ quy định chức năng, nhiệm vụ, quyền hạn và cơ cấu tổ chức của Ngân hàng Nhà nước Việt Nam;</w:t>
      </w:r>
    </w:p>
    <w:p>
      <w:pPr>
        <w:bidi w:val="0"/>
        <w:spacing w:before="120" w:beforeAutospacing="0" w:after="280" w:afterAutospacing="1"/>
      </w:pPr>
      <w:r>
        <w:rPr>
          <w:i/>
          <w:iCs/>
          <w:rtl w:val="0"/>
        </w:rPr>
        <w:t xml:space="preserve">Căn cứ Nghị định số </w:t>
      </w:r>
      <w:bookmarkStart w:id="5" w:name="tvpllink_csewxueqph"/>
      <w:r>
        <w:rPr>
          <w:i/>
          <w:iCs/>
          <w:rtl w:val="0"/>
        </w:rPr>
        <w:t>69/2018/NĐ-CP</w:t>
      </w:r>
      <w:bookmarkEnd w:id="5"/>
      <w:r>
        <w:rPr>
          <w:i/>
          <w:iCs/>
          <w:rtl w:val="0"/>
        </w:rPr>
        <w:t xml:space="preserve"> ngày 15 tháng 5 năm 2018 của Chính phủ quy định chi tiết một số điều của </w:t>
      </w:r>
      <w:bookmarkStart w:id="6" w:name="tvpllink_pugiufdkvo_1"/>
      <w:r>
        <w:rPr>
          <w:i/>
          <w:iCs/>
          <w:rtl w:val="0"/>
        </w:rPr>
        <w:t>Luật quản lý ngoại thương</w:t>
      </w:r>
      <w:bookmarkEnd w:id="6"/>
      <w:r>
        <w:rPr>
          <w:i/>
          <w:iCs/>
          <w:rtl w:val="0"/>
        </w:rPr>
        <w:t>;</w:t>
      </w:r>
    </w:p>
    <w:p>
      <w:pPr>
        <w:bidi w:val="0"/>
        <w:spacing w:before="120" w:beforeAutospacing="0" w:after="280" w:afterAutospacing="1"/>
      </w:pPr>
      <w:r>
        <w:rPr>
          <w:i/>
          <w:iCs/>
          <w:rtl w:val="0"/>
        </w:rPr>
        <w:t>Theo đề nghị của Vụ trưởng Vụ Quản lý ngoại hối;</w:t>
      </w:r>
    </w:p>
    <w:p>
      <w:pPr>
        <w:bidi w:val="0"/>
        <w:spacing w:before="120" w:beforeAutospacing="0" w:after="280" w:afterAutospacing="1"/>
      </w:pPr>
      <w:r>
        <w:rPr>
          <w:i/>
          <w:iCs/>
          <w:rtl w:val="0"/>
        </w:rPr>
        <w:t>Thống đốc Ngân hàng Nhà nước Việt Nam ban hành Thông tư ban hành Danh mục hàng hóa xuất khẩu, nhập khẩu kèm theo mã HS thuộc phạm vi quản lý của Ngân hàng Nhà nước Việt Nam trong lĩnh vực vàng.</w:t>
      </w:r>
    </w:p>
    <w:p>
      <w:pPr>
        <w:bidi w:val="0"/>
        <w:spacing w:before="120" w:beforeAutospacing="0" w:after="280" w:afterAutospacing="1"/>
      </w:pPr>
      <w:bookmarkStart w:id="7" w:name="dieu_1"/>
      <w:r>
        <w:rPr>
          <w:b/>
          <w:bCs/>
          <w:rtl w:val="0"/>
        </w:rPr>
        <w:t>Điều 1.</w:t>
      </w:r>
      <w:bookmarkEnd w:id="7"/>
      <w:r>
        <w:rPr>
          <w:rtl w:val="0"/>
        </w:rPr>
        <w:t xml:space="preserve"> </w:t>
      </w:r>
      <w:bookmarkStart w:id="8" w:name="dieu_1_name"/>
      <w:r>
        <w:rPr>
          <w:rtl w:val="0"/>
        </w:rPr>
        <w:t>Ban hành kèm theo Thông tư này Danh mục hàng hóa xuất khẩu, nhập khẩu kèm theo mã HS thuộc phạm vi quản lý của Ngân hàng Nhà nước Việt Nam trong lĩnh vực vàng.</w:t>
      </w:r>
      <w:bookmarkEnd w:id="8"/>
    </w:p>
    <w:p>
      <w:pPr>
        <w:bidi w:val="0"/>
        <w:spacing w:before="120" w:beforeAutospacing="0" w:after="280" w:afterAutospacing="1"/>
      </w:pPr>
      <w:bookmarkStart w:id="9" w:name="dieu_2"/>
      <w:r>
        <w:rPr>
          <w:b/>
          <w:bCs/>
          <w:rtl w:val="0"/>
        </w:rPr>
        <w:t>Điều 2. Hiệu lực thi hành</w:t>
      </w:r>
      <w:bookmarkEnd w:id="9"/>
    </w:p>
    <w:p>
      <w:pPr>
        <w:bidi w:val="0"/>
        <w:spacing w:before="120" w:beforeAutospacing="0" w:after="280" w:afterAutospacing="1"/>
      </w:pPr>
      <w:r>
        <w:rPr>
          <w:rtl w:val="0"/>
        </w:rPr>
        <w:t>Thông tư này có hiệu lực thi hành kể từ ngày 12 tháng 02 năm 2019.</w:t>
      </w:r>
    </w:p>
    <w:p>
      <w:pPr>
        <w:bidi w:val="0"/>
        <w:spacing w:before="120" w:beforeAutospacing="0" w:after="280" w:afterAutospacing="1"/>
      </w:pPr>
      <w:bookmarkStart w:id="10" w:name="dieu_3"/>
      <w:r>
        <w:rPr>
          <w:b/>
          <w:bCs/>
          <w:rtl w:val="0"/>
        </w:rPr>
        <w:t>Điều 3. Trách nhiệm tổ chức thực hiện</w:t>
      </w:r>
      <w:bookmarkEnd w:id="10"/>
    </w:p>
    <w:p>
      <w:pPr>
        <w:bidi w:val="0"/>
        <w:spacing w:before="120" w:beforeAutospacing="0" w:after="280" w:afterAutospacing="1"/>
      </w:pPr>
      <w:r>
        <w:rPr>
          <w:rtl w:val="0"/>
        </w:rPr>
        <w:t>Chánh Văn phòng, Vụ trưởng Vụ Quản lý ngoại hối, Giám đốc Sở Giao dịch, Giám đốc Ngân hàng Nhà nước chi nhánh các tỉnh, thành phố trực thuộc Trung ương; Chủ tịch Hội đồng quản trị, Chủ tịch Hội đồng Thành viên, Chủ tịch công ty, Tổng Giám đốc (Giám đốc) các doanh nghiệp xuất khẩu, nhập khẩu vàng nguyên liệu chịu trách nhiệm tổ chức thực hiện Thông tư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7"/>
        <w:gridCol w:w="433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Ban Lãnh đạo NHNN;</w:t>
            </w:r>
            <w:r>
              <w:rPr>
                <w:sz w:val="16"/>
                <w:rtl w:val="0"/>
              </w:rPr>
              <w:br/>
            </w:r>
            <w:r>
              <w:rPr>
                <w:sz w:val="16"/>
                <w:rtl w:val="0"/>
              </w:rPr>
              <w:t>- Văn phòng Chính phủ;</w:t>
            </w:r>
            <w:r>
              <w:rPr>
                <w:sz w:val="16"/>
                <w:rtl w:val="0"/>
              </w:rPr>
              <w:br/>
            </w:r>
            <w:r>
              <w:rPr>
                <w:sz w:val="16"/>
                <w:rtl w:val="0"/>
              </w:rPr>
              <w:t>- Bộ Tư pháp (để kiểm tra);</w:t>
            </w:r>
            <w:r>
              <w:rPr>
                <w:sz w:val="16"/>
                <w:rtl w:val="0"/>
              </w:rPr>
              <w:br/>
            </w:r>
            <w:r>
              <w:rPr>
                <w:sz w:val="16"/>
                <w:rtl w:val="0"/>
              </w:rPr>
              <w:t>- Bộ Tài chính;</w:t>
            </w:r>
            <w:r>
              <w:rPr>
                <w:sz w:val="16"/>
                <w:rtl w:val="0"/>
              </w:rPr>
              <w:br/>
            </w:r>
            <w:r>
              <w:rPr>
                <w:sz w:val="16"/>
                <w:rtl w:val="0"/>
              </w:rPr>
              <w:t>- Bộ Công thương;</w:t>
            </w:r>
            <w:r>
              <w:rPr>
                <w:sz w:val="16"/>
                <w:rtl w:val="0"/>
              </w:rPr>
              <w:br/>
            </w:r>
            <w:r>
              <w:rPr>
                <w:sz w:val="16"/>
                <w:rtl w:val="0"/>
              </w:rPr>
              <w:t>- Công báo;</w:t>
            </w:r>
            <w:r>
              <w:rPr>
                <w:sz w:val="16"/>
                <w:rtl w:val="0"/>
              </w:rPr>
              <w:br/>
            </w:r>
            <w:r>
              <w:rPr>
                <w:sz w:val="16"/>
                <w:rtl w:val="0"/>
              </w:rPr>
              <w:t>- Lưu VP, PC, QLNH (03 bản).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THỐNG ĐỐC</w:t>
            </w:r>
            <w:r>
              <w:rPr>
                <w:b/>
                <w:bCs/>
                <w:rtl w:val="0"/>
              </w:rPr>
              <w:br/>
            </w:r>
            <w:r>
              <w:rPr>
                <w:b/>
                <w:bCs/>
                <w:rtl w:val="0"/>
              </w:rPr>
              <w:t>PHÓ THỐNG ĐỐC</w:t>
            </w:r>
            <w:r>
              <w:rPr>
                <w:b/>
                <w:bCs/>
                <w:rtl w:val="0"/>
              </w:rPr>
              <w:br/>
            </w:r>
            <w:r>
              <w:rPr>
                <w:b/>
                <w:bCs/>
                <w:rtl w:val="0"/>
              </w:rPr>
              <w:br/>
            </w:r>
            <w:r>
              <w:rPr>
                <w:b/>
                <w:bCs/>
                <w:rtl w:val="0"/>
              </w:rPr>
              <w:br/>
            </w:r>
            <w:r>
              <w:rPr>
                <w:b/>
                <w:bCs/>
                <w:rtl w:val="0"/>
              </w:rPr>
              <w:br/>
            </w:r>
            <w:r>
              <w:rPr>
                <w:b/>
                <w:bCs/>
                <w:rtl w:val="0"/>
              </w:rPr>
              <w:br/>
            </w:r>
            <w:r>
              <w:rPr>
                <w:b/>
                <w:bCs/>
                <w:rtl w:val="0"/>
              </w:rPr>
              <w:t>Nguyễn Thị Hồng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 w:name="loai_2"/>
      <w:r>
        <w:rPr>
          <w:b/>
          <w:bCs/>
          <w:sz w:val="24"/>
          <w:rtl w:val="0"/>
        </w:rPr>
        <w:t>DANH MỤC</w:t>
      </w:r>
      <w:bookmarkEnd w:id="11"/>
    </w:p>
    <w:p>
      <w:pPr>
        <w:bidi w:val="0"/>
        <w:spacing w:before="120" w:beforeAutospacing="0" w:after="280" w:afterAutospacing="1"/>
        <w:jc w:val="center"/>
      </w:pPr>
      <w:bookmarkStart w:id="12" w:name="loai_2_name"/>
      <w:r>
        <w:rPr>
          <w:rtl w:val="0"/>
        </w:rPr>
        <w:t>HÀNG HÓA XUẤT KHẨU, NHẬP KHẨU KÈM THEO MÃ HS THUỘC PHẠM VI QUẢN LÝ CỦA NGÂN HÀNG NHÀ NƯỚC VIỆT NAM TRONG LĨNH VỰC VÀNG</w:t>
      </w:r>
      <w:bookmarkEnd w:id="12"/>
      <w:r>
        <w:rPr>
          <w:rtl w:val="0"/>
        </w:rPr>
        <w:br/>
      </w:r>
      <w:r>
        <w:rPr>
          <w:i/>
          <w:iCs/>
          <w:rtl w:val="0"/>
        </w:rPr>
        <w:t>(Ban hành kèm theo Thông tư số 47/2018/TT-NHNN ngày 28 tháng 12 năm 2018 của Thống đốc Ngân hàng Nhà nước)</w:t>
      </w:r>
    </w:p>
    <w:p>
      <w:pPr>
        <w:bidi w:val="0"/>
        <w:spacing w:before="120" w:beforeAutospacing="0" w:after="280" w:afterAutospacing="1"/>
      </w:pPr>
      <w:r>
        <w:rPr>
          <w:b/>
          <w:bCs/>
          <w:rtl w:val="0"/>
        </w:rPr>
        <w:t>I. Hàng hóa nhập khẩu</w:t>
      </w:r>
    </w:p>
    <w:tbl>
      <w:tblPr>
        <w:tblW w:w="5000" w:type="pct"/>
        <w:jc w:val="left"/>
        <w:tblCellMar>
          <w:top w:w="0" w:type="dxa"/>
          <w:left w:w="0" w:type="dxa"/>
          <w:bottom w:w="0" w:type="dxa"/>
          <w:right w:w="0" w:type="dxa"/>
        </w:tblCellMar>
      </w:tblPr>
      <w:tblGrid>
        <w:gridCol w:w="612"/>
        <w:gridCol w:w="1821"/>
        <w:gridCol w:w="4849"/>
        <w:gridCol w:w="1358"/>
      </w:tblGrid>
      <w:tr>
        <w:tblPrEx>
          <w:tblW w:w="5000" w:type="pct"/>
          <w:jc w:val="left"/>
          <w:tblCellMar>
            <w:top w:w="0" w:type="dxa"/>
            <w:left w:w="0" w:type="dxa"/>
            <w:bottom w:w="0" w:type="dxa"/>
            <w:right w:w="0" w:type="dxa"/>
          </w:tblCellMar>
        </w:tblPrEx>
        <w:trPr>
          <w:jc w:val="left"/>
        </w:trPr>
        <w:tc>
          <w:tcPr>
            <w:tcW w:w="35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05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HÀNG HÓA</w:t>
            </w:r>
          </w:p>
        </w:tc>
        <w:tc>
          <w:tcPr>
            <w:tcW w:w="280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78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r>
      <w:tr>
        <w:tblPrEx>
          <w:tblW w:w="5000" w:type="pct"/>
          <w:jc w:val="left"/>
          <w:tblCellMar>
            <w:top w:w="0" w:type="dxa"/>
            <w:left w:w="0" w:type="dxa"/>
            <w:bottom w:w="0" w:type="dxa"/>
            <w:right w:w="0" w:type="dxa"/>
          </w:tblCellMar>
        </w:tblPrEx>
        <w:trPr>
          <w:jc w:val="left"/>
        </w:trPr>
        <w:tc>
          <w:tcPr>
            <w:tcW w:w="35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1</w:t>
            </w:r>
          </w:p>
        </w:tc>
        <w:tc>
          <w:tcPr>
            <w:tcW w:w="105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Vàng nguyên liệu</w:t>
            </w:r>
          </w:p>
        </w:tc>
        <w:tc>
          <w:tcPr>
            <w:tcW w:w="2806"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Vàng dưới dạng khối, thỏi, hạt, miếng và các loại vàng khác, ngoại trừ vàng dưới dạng bột, dung dịch, vẩy hàn, muối vàng và các loại vàng trang sức dưới dạng bán thành phẩm.</w:t>
            </w:r>
          </w:p>
        </w:tc>
        <w:tc>
          <w:tcPr>
            <w:tcW w:w="786"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jc w:val="center"/>
            </w:pPr>
            <w:r>
              <w:rPr>
                <w:rtl w:val="0"/>
              </w:rPr>
              <w:t>7108.12.10</w:t>
            </w:r>
          </w:p>
          <w:p>
            <w:pPr>
              <w:bidi w:val="0"/>
              <w:spacing w:before="120" w:beforeAutospacing="0" w:after="0" w:afterAutospacing="0"/>
              <w:jc w:val="center"/>
              <w:rPr>
                <w:rtl w:val="0"/>
              </w:rPr>
            </w:pPr>
            <w:r>
              <w:rPr>
                <w:rtl w:val="0"/>
              </w:rPr>
              <w:t>7108.12.90</w:t>
            </w:r>
          </w:p>
        </w:tc>
      </w:tr>
    </w:tbl>
    <w:p>
      <w:pPr>
        <w:bidi w:val="0"/>
        <w:spacing w:before="120" w:beforeAutospacing="0" w:after="280" w:afterAutospacing="1"/>
      </w:pPr>
      <w:r>
        <w:rPr>
          <w:b/>
          <w:bCs/>
          <w:rtl w:val="0"/>
        </w:rPr>
        <w:t>II. Hàng hóa xuất khẩu</w:t>
      </w:r>
    </w:p>
    <w:tbl>
      <w:tblPr>
        <w:tblW w:w="5000" w:type="pct"/>
        <w:jc w:val="left"/>
        <w:tblCellMar>
          <w:top w:w="0" w:type="dxa"/>
          <w:left w:w="0" w:type="dxa"/>
          <w:bottom w:w="0" w:type="dxa"/>
          <w:right w:w="0" w:type="dxa"/>
        </w:tblCellMar>
      </w:tblPr>
      <w:tblGrid>
        <w:gridCol w:w="617"/>
        <w:gridCol w:w="1818"/>
        <w:gridCol w:w="4802"/>
        <w:gridCol w:w="1403"/>
      </w:tblGrid>
      <w:tr>
        <w:tblPrEx>
          <w:tblW w:w="5000" w:type="pct"/>
          <w:jc w:val="left"/>
          <w:tblCellMar>
            <w:top w:w="0" w:type="dxa"/>
            <w:left w:w="0" w:type="dxa"/>
            <w:bottom w:w="0" w:type="dxa"/>
            <w:right w:w="0" w:type="dxa"/>
          </w:tblCellMar>
        </w:tblPrEx>
        <w:trPr>
          <w:jc w:val="left"/>
        </w:trPr>
        <w:tc>
          <w:tcPr>
            <w:tcW w:w="357"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05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HÀNG HÓA</w:t>
            </w:r>
          </w:p>
        </w:tc>
        <w:tc>
          <w:tcPr>
            <w:tcW w:w="277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c>
          <w:tcPr>
            <w:tcW w:w="81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r>
      <w:tr>
        <w:tblPrEx>
          <w:tblW w:w="5000" w:type="pct"/>
          <w:jc w:val="left"/>
          <w:tblCellMar>
            <w:top w:w="0" w:type="dxa"/>
            <w:left w:w="0" w:type="dxa"/>
            <w:bottom w:w="0" w:type="dxa"/>
            <w:right w:w="0" w:type="dxa"/>
          </w:tblCellMar>
        </w:tblPrEx>
        <w:trPr>
          <w:jc w:val="left"/>
        </w:trPr>
        <w:tc>
          <w:tcPr>
            <w:tcW w:w="357"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1</w:t>
            </w:r>
          </w:p>
        </w:tc>
        <w:tc>
          <w:tcPr>
            <w:tcW w:w="1052"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Vàng nguyên liệu</w:t>
            </w:r>
          </w:p>
        </w:tc>
        <w:tc>
          <w:tcPr>
            <w:tcW w:w="277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bottom"/>
          </w:tcPr>
          <w:p>
            <w:pPr>
              <w:bidi w:val="0"/>
              <w:spacing w:before="120" w:beforeAutospacing="0" w:after="0" w:afterAutospacing="0"/>
            </w:pPr>
            <w:r>
              <w:rPr>
                <w:rtl w:val="0"/>
              </w:rPr>
              <w:t>Vàng dưới dạng khối, thỏi, hạt, miếng và các loại vàng khác, ngoại trừ vàng dưới dạng bột, dung dịch, vẩy hàn, muối vàng và các loại vàng trang sức dưới dạng bán thành phẩm.</w:t>
            </w:r>
          </w:p>
        </w:tc>
        <w:tc>
          <w:tcPr>
            <w:tcW w:w="812"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jc w:val="center"/>
            </w:pPr>
            <w:r>
              <w:rPr>
                <w:rtl w:val="0"/>
              </w:rPr>
              <w:t>7108.12.10</w:t>
            </w:r>
          </w:p>
          <w:p>
            <w:pPr>
              <w:bidi w:val="0"/>
              <w:spacing w:before="120" w:beforeAutospacing="0" w:after="0" w:afterAutospacing="0"/>
              <w:jc w:val="center"/>
              <w:rPr>
                <w:rtl w:val="0"/>
              </w:rPr>
            </w:pPr>
            <w:r>
              <w:rPr>
                <w:rtl w:val="0"/>
              </w:rPr>
              <w:t>7108.12.90</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