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34/2025/TT-BCT</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02 tháng 6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shd w:val="solid" w:color="FFFFFF" w:fill="auto"/>
        <w:bidi w:val="0"/>
        <w:spacing w:before="120" w:beforeAutospacing="0" w:after="280" w:afterAutospacing="1"/>
        <w:jc w:val="center"/>
        <w:rPr>
          <w:rtl w:val="0"/>
        </w:rPr>
      </w:pPr>
      <w:bookmarkStart w:id="1" w:name="loai_1_name"/>
      <w:r>
        <w:rPr>
          <w:rtl w:val="0"/>
        </w:rPr>
        <w:t>SỬA ĐỔI, BỔ SUNG MỘT SỐ ĐIỀU CỦA THÔNG TƯ SỐ 02/2018/TT-BCT NGÀY 27 THÁNG 02 NĂM 2018 CỦA BỘ TRƯỞNG BỘ CÔNG THƯƠNG QUY ĐỊNH CHI TIẾT DANH MỤC HÀNG HÓA MUA BÁN, TRAO ĐỔI CỦA CƯ DÂN BIÊN GIỚI</w:t>
      </w:r>
      <w:bookmarkEnd w:id="1"/>
    </w:p>
    <w:p>
      <w:pPr>
        <w:bidi w:val="0"/>
        <w:spacing w:before="120" w:beforeAutospacing="0" w:after="280" w:afterAutospacing="1"/>
        <w:rPr>
          <w:rtl w:val="0"/>
        </w:rPr>
      </w:pPr>
      <w:r>
        <w:rPr>
          <w:i/>
          <w:iCs/>
          <w:rtl w:val="0"/>
        </w:rPr>
        <w:t xml:space="preserve">Căn cứ </w:t>
      </w:r>
      <w:bookmarkStart w:id="2" w:name="tvpllink_pugiufdkvo"/>
      <w:r>
        <w:rPr>
          <w:i/>
          <w:iCs/>
          <w:rtl w:val="0"/>
        </w:rPr>
        <w:t>Luật Quản lý ngoại thương</w:t>
      </w:r>
      <w:bookmarkEnd w:id="2"/>
      <w:r>
        <w:rPr>
          <w:i/>
          <w:iCs/>
          <w:rtl w:val="0"/>
        </w:rPr>
        <w:t xml:space="preserve"> ngày 12 tháng 6 năm 2017;</w:t>
      </w:r>
    </w:p>
    <w:p>
      <w:pPr>
        <w:bidi w:val="0"/>
        <w:spacing w:before="120" w:beforeAutospacing="0" w:after="280" w:afterAutospacing="1"/>
        <w:rPr>
          <w:rtl w:val="0"/>
        </w:rPr>
      </w:pPr>
      <w:r>
        <w:rPr>
          <w:i/>
          <w:iCs/>
          <w:rtl w:val="0"/>
        </w:rPr>
        <w:t xml:space="preserve">Căn cứ Nghị định số </w:t>
      </w:r>
      <w:bookmarkStart w:id="3" w:name="tvpllink_nyajtqivur"/>
      <w:r>
        <w:rPr>
          <w:i/>
          <w:iCs/>
          <w:rtl w:val="0"/>
        </w:rPr>
        <w:t>40/2025/NĐ-CP</w:t>
      </w:r>
      <w:bookmarkEnd w:id="3"/>
      <w:r>
        <w:rPr>
          <w:i/>
          <w:iCs/>
          <w:rtl w:val="0"/>
        </w:rPr>
        <w:t xml:space="preserve"> ngày 26 tháng 02 năm 2025 của Chính phủ quy định về chức năng, nhiệm vụ, quyền hạn và cơ cấu tổ chức của Bộ Công Thương;</w:t>
      </w:r>
    </w:p>
    <w:p>
      <w:pPr>
        <w:bidi w:val="0"/>
        <w:spacing w:before="120" w:beforeAutospacing="0" w:after="280" w:afterAutospacing="1"/>
        <w:rPr>
          <w:rtl w:val="0"/>
        </w:rPr>
      </w:pPr>
      <w:r>
        <w:rPr>
          <w:i/>
          <w:iCs/>
          <w:rtl w:val="0"/>
        </w:rPr>
        <w:t xml:space="preserve">Căn cứ Nghị định số </w:t>
      </w:r>
      <w:bookmarkStart w:id="4" w:name="tvpllink_zxkcodquud"/>
      <w:r>
        <w:rPr>
          <w:i/>
          <w:iCs/>
          <w:rtl w:val="0"/>
        </w:rPr>
        <w:t>14/2018/NĐ-CP</w:t>
      </w:r>
      <w:bookmarkEnd w:id="4"/>
      <w:r>
        <w:rPr>
          <w:i/>
          <w:iCs/>
          <w:rtl w:val="0"/>
        </w:rPr>
        <w:t xml:space="preserve"> ngày 23 tháng 01 năm 2018 của Chính phủ quy định chi tiết về hoạt động thương mại biên giới;</w:t>
      </w:r>
    </w:p>
    <w:p>
      <w:pPr>
        <w:bidi w:val="0"/>
        <w:spacing w:before="120" w:beforeAutospacing="0" w:after="280" w:afterAutospacing="1"/>
        <w:rPr>
          <w:rtl w:val="0"/>
        </w:rPr>
      </w:pPr>
      <w:r>
        <w:rPr>
          <w:i/>
          <w:iCs/>
          <w:rtl w:val="0"/>
        </w:rPr>
        <w:t xml:space="preserve">Căn cứ Nghị định số </w:t>
      </w:r>
      <w:bookmarkStart w:id="5" w:name="tvpllink_pgxnemdkcc"/>
      <w:r>
        <w:rPr>
          <w:i/>
          <w:iCs/>
          <w:rtl w:val="0"/>
        </w:rPr>
        <w:t>122/2024/NĐ-CP</w:t>
      </w:r>
      <w:bookmarkEnd w:id="5"/>
      <w:r>
        <w:rPr>
          <w:i/>
          <w:iCs/>
          <w:rtl w:val="0"/>
        </w:rPr>
        <w:t xml:space="preserve"> ngày 04 tháng 10 năm 2024 của Chính phủ sửa đổi, bổ sung một số điều của Nghị định số </w:t>
      </w:r>
      <w:bookmarkStart w:id="6" w:name="tvpllink_zxkcodquud_1"/>
      <w:r>
        <w:rPr>
          <w:i/>
          <w:iCs/>
          <w:rtl w:val="0"/>
        </w:rPr>
        <w:t>14/2018/NĐ-CP</w:t>
      </w:r>
      <w:bookmarkEnd w:id="6"/>
      <w:r>
        <w:rPr>
          <w:i/>
          <w:iCs/>
          <w:rtl w:val="0"/>
        </w:rPr>
        <w:t>;</w:t>
      </w:r>
    </w:p>
    <w:p>
      <w:pPr>
        <w:bidi w:val="0"/>
        <w:spacing w:before="120" w:beforeAutospacing="0" w:after="280" w:afterAutospacing="1"/>
        <w:rPr>
          <w:rtl w:val="0"/>
        </w:rPr>
      </w:pPr>
      <w:r>
        <w:rPr>
          <w:i/>
          <w:iCs/>
          <w:rtl w:val="0"/>
        </w:rPr>
        <w:t>Theo đề nghị của Cục trưởng Cục Xuất nhập khẩu,</w:t>
      </w:r>
    </w:p>
    <w:p>
      <w:pPr>
        <w:bidi w:val="0"/>
        <w:spacing w:before="120" w:beforeAutospacing="0" w:after="280" w:afterAutospacing="1"/>
        <w:rPr>
          <w:rtl w:val="0"/>
        </w:rPr>
      </w:pPr>
      <w:r>
        <w:rPr>
          <w:i/>
          <w:iCs/>
          <w:rtl w:val="0"/>
        </w:rPr>
        <w:t xml:space="preserve">Bộ trưởng Bộ Công Thương ban hành Thông tư sửa đổi, bổ sung một số điều của Thông tư số </w:t>
      </w:r>
      <w:bookmarkStart w:id="7" w:name="tvpllink_tmucbvruop"/>
      <w:r>
        <w:rPr>
          <w:i/>
          <w:iCs/>
          <w:rtl w:val="0"/>
        </w:rPr>
        <w:t>02/2018/TT-BCT</w:t>
      </w:r>
      <w:bookmarkEnd w:id="7"/>
      <w:r>
        <w:rPr>
          <w:i/>
          <w:iCs/>
          <w:rtl w:val="0"/>
        </w:rPr>
        <w:t xml:space="preserve"> ngày 27 tháng 02 năm 2018 của Bộ trưởng Bộ Công Thương quy định chi tiết Danh mục hàng hóa mua bán, trao đổi của cư dân biên giới.</w:t>
      </w:r>
    </w:p>
    <w:p>
      <w:pPr>
        <w:bidi w:val="0"/>
        <w:spacing w:before="120" w:beforeAutospacing="0" w:after="280" w:afterAutospacing="1"/>
        <w:rPr>
          <w:rtl w:val="0"/>
        </w:rPr>
      </w:pPr>
      <w:bookmarkStart w:id="8" w:name="dieu_1"/>
      <w:r>
        <w:rPr>
          <w:b/>
          <w:bCs/>
          <w:rtl w:val="0"/>
        </w:rPr>
        <w:t>Điều 1. Sửa đổi, bổ sung một số điều của Thông tư số 02/2018/TT-BCT ngày 27 tháng 02 năm 2018 của Bộ trưởng Bộ Công Thương quy định chi tiết Danh mục hàng hóa mua bán, trao đổi của cư dân biên giới</w:t>
      </w:r>
      <w:bookmarkEnd w:id="8"/>
    </w:p>
    <w:p>
      <w:pPr>
        <w:bidi w:val="0"/>
        <w:spacing w:before="120" w:beforeAutospacing="0" w:after="280" w:afterAutospacing="1"/>
        <w:rPr>
          <w:rtl w:val="0"/>
        </w:rPr>
      </w:pPr>
      <w:bookmarkStart w:id="9" w:name="khoan_1_1"/>
      <w:r>
        <w:rPr>
          <w:rtl w:val="0"/>
        </w:rPr>
        <w:t>1. Sửa đổi, bổ sung</w:t>
      </w:r>
      <w:bookmarkEnd w:id="9"/>
      <w:r>
        <w:rPr>
          <w:rtl w:val="0"/>
        </w:rPr>
        <w:t xml:space="preserve"> </w:t>
      </w:r>
      <w:bookmarkStart w:id="10" w:name="dc_1"/>
      <w:r>
        <w:rPr>
          <w:rtl w:val="0"/>
        </w:rPr>
        <w:t>khoản 1 Điều 2</w:t>
      </w:r>
      <w:bookmarkEnd w:id="10"/>
      <w:r>
        <w:rPr>
          <w:rtl w:val="0"/>
        </w:rPr>
        <w:t xml:space="preserve"> </w:t>
      </w:r>
      <w:bookmarkStart w:id="11" w:name="khoan_1_1_name"/>
      <w:r>
        <w:rPr>
          <w:rtl w:val="0"/>
        </w:rPr>
        <w:t>như sau:</w:t>
      </w:r>
      <w:bookmarkEnd w:id="11"/>
    </w:p>
    <w:p>
      <w:pPr>
        <w:shd w:val="solid" w:color="FFFFFF" w:fill="auto"/>
        <w:bidi w:val="0"/>
        <w:spacing w:before="120" w:beforeAutospacing="0" w:after="280" w:afterAutospacing="1"/>
        <w:rPr>
          <w:rtl w:val="0"/>
        </w:rPr>
      </w:pPr>
      <w:r>
        <w:rPr>
          <w:rtl w:val="0"/>
        </w:rPr>
        <w:t xml:space="preserve">“1. Cư dân biên giới mua bán, trao đổi hàng hóa qua biên giới quy định tại </w:t>
      </w:r>
      <w:bookmarkStart w:id="12" w:name="dc_2"/>
      <w:r>
        <w:rPr>
          <w:rtl w:val="0"/>
        </w:rPr>
        <w:t>khoản 1 Điều 1 Nghị định số 122/2024/NĐ-CP</w:t>
      </w:r>
      <w:bookmarkEnd w:id="12"/>
      <w:r>
        <w:rPr>
          <w:rtl w:val="0"/>
        </w:rPr>
        <w:t>”.</w:t>
      </w:r>
    </w:p>
    <w:p>
      <w:pPr>
        <w:shd w:val="solid" w:color="FFFFFF" w:fill="auto"/>
        <w:bidi w:val="0"/>
        <w:spacing w:before="120" w:beforeAutospacing="0" w:after="280" w:afterAutospacing="1"/>
        <w:rPr>
          <w:rtl w:val="0"/>
        </w:rPr>
      </w:pPr>
      <w:bookmarkStart w:id="13" w:name="khoan_2_1"/>
      <w:r>
        <w:rPr>
          <w:rtl w:val="0"/>
        </w:rPr>
        <w:t>2. Sửa đổi, bổ sung</w:t>
      </w:r>
      <w:bookmarkEnd w:id="13"/>
      <w:r>
        <w:rPr>
          <w:rtl w:val="0"/>
        </w:rPr>
        <w:t xml:space="preserve"> </w:t>
      </w:r>
      <w:bookmarkStart w:id="14" w:name="dc_3"/>
      <w:r>
        <w:rPr>
          <w:rtl w:val="0"/>
        </w:rPr>
        <w:t>Điều 3</w:t>
      </w:r>
      <w:bookmarkEnd w:id="14"/>
      <w:r>
        <w:rPr>
          <w:rtl w:val="0"/>
        </w:rPr>
        <w:t xml:space="preserve"> </w:t>
      </w:r>
      <w:bookmarkStart w:id="15" w:name="khoan_2_1_name"/>
      <w:r>
        <w:rPr>
          <w:rtl w:val="0"/>
        </w:rPr>
        <w:t>như sau:</w:t>
      </w:r>
      <w:bookmarkEnd w:id="15"/>
    </w:p>
    <w:p>
      <w:pPr>
        <w:shd w:val="solid" w:color="FFFFFF" w:fill="auto"/>
        <w:bidi w:val="0"/>
        <w:spacing w:before="120" w:beforeAutospacing="0" w:after="280" w:afterAutospacing="1"/>
        <w:rPr>
          <w:rtl w:val="0"/>
        </w:rPr>
      </w:pPr>
      <w:r>
        <w:rPr>
          <w:shd w:val="solid" w:color="FFFFFF" w:fill="auto"/>
          <w:rtl w:val="0"/>
        </w:rPr>
        <w:t>“</w:t>
      </w:r>
      <w:r>
        <w:rPr>
          <w:b/>
          <w:bCs/>
          <w:rtl w:val="0"/>
        </w:rPr>
        <w:t>Điều 3. Hàng hóa mua bán, trao đổi qua biên giới của cư dân biên giới</w:t>
      </w:r>
    </w:p>
    <w:p>
      <w:pPr>
        <w:shd w:val="solid" w:color="FFFFFF" w:fill="auto"/>
        <w:bidi w:val="0"/>
        <w:spacing w:before="120" w:beforeAutospacing="0" w:after="280" w:afterAutospacing="1"/>
        <w:rPr>
          <w:rtl w:val="0"/>
        </w:rPr>
      </w:pPr>
      <w:r>
        <w:rPr>
          <w:rtl w:val="0"/>
        </w:rPr>
        <w:t>1. Hàng hóa xuất khẩu dưới hình thức mua bán, trao đổi của cư dân biên giới thực hiện theo quy định của pháp luật hiện hành.</w:t>
      </w:r>
    </w:p>
    <w:p>
      <w:pPr>
        <w:shd w:val="solid" w:color="FFFFFF" w:fill="auto"/>
        <w:bidi w:val="0"/>
        <w:spacing w:before="120" w:beforeAutospacing="0" w:after="280" w:afterAutospacing="1"/>
        <w:rPr>
          <w:rtl w:val="0"/>
        </w:rPr>
      </w:pPr>
      <w:r>
        <w:rPr>
          <w:rtl w:val="0"/>
        </w:rPr>
        <w:t>2. Hàng hóa được nhập khẩu dưới hình thức mua bán, trao đổi của cư dân biên giới quy định tại Phụ lục I kèm theo Thông tư này.</w:t>
      </w:r>
    </w:p>
    <w:p>
      <w:pPr>
        <w:shd w:val="solid" w:color="FFFFFF" w:fill="auto"/>
        <w:bidi w:val="0"/>
        <w:spacing w:before="120" w:beforeAutospacing="0" w:after="280" w:afterAutospacing="1"/>
        <w:rPr>
          <w:rtl w:val="0"/>
        </w:rPr>
      </w:pPr>
      <w:r>
        <w:rPr>
          <w:rtl w:val="0"/>
        </w:rPr>
        <w:t>3. Các mặt hàng ngoài danh mục quy định tại khoản 2 Điều này không được nhập khẩu dưới hình thức mua bán, trao đổi hàng hóa của cư dân biên giới.</w:t>
      </w:r>
    </w:p>
    <w:p>
      <w:pPr>
        <w:shd w:val="solid" w:color="FFFFFF" w:fill="auto"/>
        <w:bidi w:val="0"/>
        <w:spacing w:before="120" w:beforeAutospacing="0" w:after="280" w:afterAutospacing="1"/>
        <w:rPr>
          <w:rtl w:val="0"/>
        </w:rPr>
      </w:pPr>
      <w:r>
        <w:rPr>
          <w:rtl w:val="0"/>
        </w:rPr>
        <w:t>4. Trường hợp cần đảm bảo an toàn thực phẩm, phòng ngừa dịch bệnh qua biên giới, Bộ Công Thương sau khi trao đổi với các Bộ, ngành liên quan quyết định tạm ngừng nhập khẩu một số mặt hàng trong danh mục hàng hóa mua bán, trao đổi của cư dân biên giới ban hành theo quy định tại khoản 2 Điều này trên từng địa bàn với thời gian cụ thể”.</w:t>
      </w:r>
    </w:p>
    <w:p>
      <w:pPr>
        <w:bidi w:val="0"/>
        <w:spacing w:before="120" w:beforeAutospacing="0" w:after="280" w:afterAutospacing="1"/>
        <w:rPr>
          <w:rtl w:val="0"/>
        </w:rPr>
      </w:pPr>
      <w:bookmarkStart w:id="16" w:name="dieu_2"/>
      <w:r>
        <w:rPr>
          <w:b/>
          <w:bCs/>
          <w:rtl w:val="0"/>
        </w:rPr>
        <w:t>Điều 2. Thay thế Phụ lục I Danh mục hàng hóa nhập khẩu dưới hình thức mua bán, trao đổi của cư dân biên giới tại Thông tư số 02/2018/TT-BCT</w:t>
      </w:r>
      <w:bookmarkEnd w:id="16"/>
    </w:p>
    <w:p>
      <w:pPr>
        <w:bidi w:val="0"/>
        <w:spacing w:before="120" w:beforeAutospacing="0" w:after="280" w:afterAutospacing="1"/>
        <w:rPr>
          <w:rtl w:val="0"/>
        </w:rPr>
      </w:pPr>
      <w:r>
        <w:rPr>
          <w:rtl w:val="0"/>
        </w:rPr>
        <w:t xml:space="preserve">Thay thế Phụ lục I Danh mục hàng hóa nhập khẩu dưới hình thức mua bán, trao đổi của cư dân biên giới tại Thông tư số </w:t>
      </w:r>
      <w:bookmarkStart w:id="17" w:name="tvpllink_tmucbvruop_1"/>
      <w:r>
        <w:rPr>
          <w:rtl w:val="0"/>
        </w:rPr>
        <w:t>02/2018/TT-BCT</w:t>
      </w:r>
      <w:bookmarkEnd w:id="17"/>
      <w:r>
        <w:rPr>
          <w:rtl w:val="0"/>
        </w:rPr>
        <w:t xml:space="preserve"> bằng Phụ lục ban hành theo Thông tư này.</w:t>
      </w:r>
    </w:p>
    <w:p>
      <w:pPr>
        <w:bidi w:val="0"/>
        <w:spacing w:before="120" w:beforeAutospacing="0" w:after="280" w:afterAutospacing="1"/>
        <w:rPr>
          <w:rtl w:val="0"/>
        </w:rPr>
      </w:pPr>
      <w:bookmarkStart w:id="18" w:name="dieu_3"/>
      <w:r>
        <w:rPr>
          <w:b/>
          <w:bCs/>
          <w:rtl w:val="0"/>
        </w:rPr>
        <w:t>Điều 3. Điều khoản thi hành</w:t>
      </w:r>
      <w:bookmarkEnd w:id="18"/>
      <w:r>
        <w:rPr>
          <w:rtl w:val="0"/>
        </w:rPr>
        <w:t xml:space="preserve"> </w:t>
      </w:r>
    </w:p>
    <w:p>
      <w:pPr>
        <w:bidi w:val="0"/>
        <w:spacing w:before="120" w:beforeAutospacing="0" w:after="280" w:afterAutospacing="1"/>
        <w:rPr>
          <w:rtl w:val="0"/>
        </w:rPr>
      </w:pPr>
      <w:r>
        <w:rPr>
          <w:rtl w:val="0"/>
        </w:rPr>
        <w:t>Thông tư này có hiệu lực thi hành kể từ ngày 21 tháng 7 năm 2025./.</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280" w:afterAutospacing="1"/>
              <w:rPr>
                <w:rtl w:val="0"/>
              </w:rPr>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shd w:val="solid" w:color="FFFFFF" w:fill="auto"/>
                <w:rtl w:val="0"/>
              </w:rPr>
              <w:t>- Văn phòng Tổng bí thư;</w:t>
            </w:r>
            <w:r>
              <w:rPr>
                <w:sz w:val="16"/>
                <w:rtl w:val="0"/>
              </w:rPr>
              <w:br/>
            </w:r>
            <w:r>
              <w:rPr>
                <w:sz w:val="16"/>
                <w:shd w:val="solid" w:color="FFFFFF" w:fill="auto"/>
                <w:rtl w:val="0"/>
              </w:rPr>
              <w:t>- Văn phòng Chủ tịch nước;</w:t>
            </w:r>
            <w:r>
              <w:rPr>
                <w:sz w:val="16"/>
                <w:rtl w:val="0"/>
              </w:rPr>
              <w:br/>
            </w:r>
            <w:r>
              <w:rPr>
                <w:sz w:val="16"/>
                <w:shd w:val="solid" w:color="FFFFFF" w:fill="auto"/>
                <w:rtl w:val="0"/>
              </w:rPr>
              <w:t>- Văn phòng Quốc hội;</w:t>
            </w:r>
            <w:r>
              <w:rPr>
                <w:sz w:val="16"/>
                <w:rtl w:val="0"/>
              </w:rPr>
              <w:br/>
            </w:r>
            <w:r>
              <w:rPr>
                <w:sz w:val="16"/>
                <w:shd w:val="solid" w:color="FFFFFF" w:fill="auto"/>
                <w:rtl w:val="0"/>
              </w:rPr>
              <w:t>- Ủy ban Thường vụ Quốc hội;</w:t>
            </w:r>
            <w:r>
              <w:rPr>
                <w:sz w:val="16"/>
                <w:rtl w:val="0"/>
              </w:rPr>
              <w:br/>
            </w:r>
            <w:r>
              <w:rPr>
                <w:sz w:val="16"/>
                <w:shd w:val="solid" w:color="FFFFFF" w:fill="auto"/>
                <w:rtl w:val="0"/>
              </w:rPr>
              <w:t>- Hội đồng Dân tộc và các Ủy ban của Quốc hội;</w:t>
            </w:r>
            <w:r>
              <w:rPr>
                <w:sz w:val="16"/>
                <w:rtl w:val="0"/>
              </w:rPr>
              <w:br/>
            </w:r>
            <w:r>
              <w:rPr>
                <w:sz w:val="16"/>
                <w:shd w:val="solid" w:color="FFFFFF" w:fill="auto"/>
                <w:rtl w:val="0"/>
              </w:rPr>
              <w:t>- Văn phòng Chính phủ;</w:t>
            </w:r>
            <w:r>
              <w:rPr>
                <w:sz w:val="16"/>
                <w:rtl w:val="0"/>
              </w:rPr>
              <w:br/>
            </w:r>
            <w:r>
              <w:rPr>
                <w:sz w:val="16"/>
                <w:shd w:val="solid" w:color="FFFFFF" w:fill="auto"/>
                <w:rtl w:val="0"/>
              </w:rPr>
              <w:t>- Thủ tướng, các Phó Thủ tướng Chính phủ;</w:t>
            </w:r>
            <w:r>
              <w:rPr>
                <w:sz w:val="16"/>
                <w:rtl w:val="0"/>
              </w:rPr>
              <w:br/>
            </w:r>
            <w:r>
              <w:rPr>
                <w:sz w:val="16"/>
                <w:shd w:val="solid" w:color="FFFFFF" w:fill="auto"/>
                <w:rtl w:val="0"/>
              </w:rPr>
              <w:t>- Các bộ, cơ quan ngang bộ, cơ quan thuộc Chính phủ;</w:t>
            </w:r>
            <w:r>
              <w:rPr>
                <w:sz w:val="16"/>
                <w:rtl w:val="0"/>
              </w:rPr>
              <w:br/>
            </w:r>
            <w:r>
              <w:rPr>
                <w:sz w:val="16"/>
                <w:shd w:val="solid" w:color="FFFFFF" w:fill="auto"/>
                <w:rtl w:val="0"/>
              </w:rPr>
              <w:t>- Viện Kiểm sát nhân dân tối cao;</w:t>
            </w:r>
            <w:r>
              <w:rPr>
                <w:sz w:val="16"/>
                <w:rtl w:val="0"/>
              </w:rPr>
              <w:br/>
            </w:r>
            <w:r>
              <w:rPr>
                <w:sz w:val="16"/>
                <w:shd w:val="solid" w:color="FFFFFF" w:fill="auto"/>
                <w:rtl w:val="0"/>
              </w:rPr>
              <w:t>- Tòa án nhân dân tối cao;</w:t>
            </w:r>
            <w:r>
              <w:rPr>
                <w:sz w:val="16"/>
                <w:rtl w:val="0"/>
              </w:rPr>
              <w:br/>
            </w:r>
            <w:r>
              <w:rPr>
                <w:sz w:val="16"/>
                <w:shd w:val="solid" w:color="FFFFFF" w:fill="auto"/>
                <w:rtl w:val="0"/>
              </w:rPr>
              <w:t>- Kiểm toán nhà nước;</w:t>
            </w:r>
            <w:r>
              <w:rPr>
                <w:sz w:val="16"/>
                <w:rtl w:val="0"/>
              </w:rPr>
              <w:br/>
            </w:r>
            <w:r>
              <w:rPr>
                <w:sz w:val="16"/>
                <w:shd w:val="solid" w:color="FFFFFF" w:fill="auto"/>
                <w:rtl w:val="0"/>
              </w:rPr>
              <w:t>- Ủy ban Trung ương Mặt trận Tổ quốc Việt Nam;</w:t>
            </w:r>
            <w:r>
              <w:rPr>
                <w:sz w:val="16"/>
                <w:rtl w:val="0"/>
              </w:rPr>
              <w:br/>
            </w:r>
            <w:r>
              <w:rPr>
                <w:sz w:val="16"/>
                <w:shd w:val="solid" w:color="FFFFFF" w:fill="auto"/>
                <w:rtl w:val="0"/>
              </w:rPr>
              <w:t>- UBND, HĐND các tỉnh, thành phố trực thuộc trung ương;</w:t>
            </w:r>
            <w:r>
              <w:rPr>
                <w:sz w:val="16"/>
                <w:rtl w:val="0"/>
              </w:rPr>
              <w:br/>
            </w:r>
            <w:r>
              <w:rPr>
                <w:sz w:val="16"/>
                <w:shd w:val="solid" w:color="FFFFFF" w:fill="auto"/>
                <w:rtl w:val="0"/>
              </w:rPr>
              <w:t>- Cục Kiểm tra văn bản và Quản lý xử lý vi phạm hành chính, Bộ Tư pháp;</w:t>
            </w:r>
            <w:r>
              <w:rPr>
                <w:sz w:val="16"/>
                <w:rtl w:val="0"/>
              </w:rPr>
              <w:br/>
            </w:r>
            <w:r>
              <w:rPr>
                <w:sz w:val="16"/>
                <w:shd w:val="solid" w:color="FFFFFF" w:fill="auto"/>
                <w:rtl w:val="0"/>
              </w:rPr>
              <w:t>- Cục Kiểm soát thủ tục hành chính, Văn phòng Chính phủ;</w:t>
            </w:r>
            <w:r>
              <w:rPr>
                <w:sz w:val="16"/>
                <w:rtl w:val="0"/>
              </w:rPr>
              <w:br/>
            </w:r>
            <w:r>
              <w:rPr>
                <w:sz w:val="16"/>
                <w:shd w:val="solid" w:color="FFFFFF" w:fill="auto"/>
                <w:rtl w:val="0"/>
              </w:rPr>
              <w:t>- Các Lãnh đạo Bộ;</w:t>
            </w:r>
            <w:r>
              <w:rPr>
                <w:sz w:val="16"/>
                <w:rtl w:val="0"/>
              </w:rPr>
              <w:br/>
            </w:r>
            <w:r>
              <w:rPr>
                <w:sz w:val="16"/>
                <w:shd w:val="solid" w:color="FFFFFF" w:fill="auto"/>
                <w:rtl w:val="0"/>
              </w:rPr>
              <w:t>- Các đơn vị thuộc Bộ Công Thương;</w:t>
            </w:r>
            <w:r>
              <w:rPr>
                <w:sz w:val="16"/>
                <w:rtl w:val="0"/>
              </w:rPr>
              <w:br/>
            </w:r>
            <w:r>
              <w:rPr>
                <w:sz w:val="16"/>
                <w:shd w:val="solid" w:color="FFFFFF" w:fill="auto"/>
                <w:rtl w:val="0"/>
              </w:rPr>
              <w:t>- Sở Công Thương các tỉnh, thành phố trực thuộc trung ương;</w:t>
            </w:r>
            <w:r>
              <w:rPr>
                <w:sz w:val="16"/>
                <w:rtl w:val="0"/>
              </w:rPr>
              <w:br/>
            </w:r>
            <w:r>
              <w:rPr>
                <w:sz w:val="16"/>
                <w:shd w:val="solid" w:color="FFFFFF" w:fill="auto"/>
                <w:rtl w:val="0"/>
              </w:rPr>
              <w:t>- Cổng thông tin điện tử Chính phủ; Cổng thông tin điện tử Bộ Công Thương;</w:t>
            </w:r>
            <w:r>
              <w:rPr>
                <w:sz w:val="16"/>
                <w:rtl w:val="0"/>
              </w:rPr>
              <w:br/>
            </w:r>
            <w:r>
              <w:rPr>
                <w:sz w:val="16"/>
                <w:shd w:val="solid" w:color="FFFFFF" w:fill="auto"/>
                <w:rtl w:val="0"/>
              </w:rPr>
              <w:t>- Công báo;</w:t>
            </w:r>
            <w:r>
              <w:rPr>
                <w:sz w:val="16"/>
                <w:rtl w:val="0"/>
              </w:rPr>
              <w:br/>
            </w:r>
            <w:r>
              <w:rPr>
                <w:sz w:val="16"/>
                <w:shd w:val="solid" w:color="FFFFFF" w:fill="auto"/>
                <w:rtl w:val="0"/>
              </w:rPr>
              <w:t>- Lưu: VT, XNK (10b).</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KT. BỘ TRƯỞNG</w:t>
            </w:r>
            <w:r>
              <w:rPr>
                <w:rtl w:val="0"/>
              </w:rPr>
              <w:br/>
            </w:r>
            <w:r>
              <w:rPr>
                <w:b/>
                <w:bCs/>
                <w:rtl w:val="0"/>
              </w:rPr>
              <w:t>THỨ TRƯỞNG</w:t>
            </w:r>
            <w:r>
              <w:rPr>
                <w:rtl w:val="0"/>
              </w:rPr>
              <w:br/>
            </w:r>
            <w:r>
              <w:rPr>
                <w:rtl w:val="0"/>
              </w:rPr>
              <w:br/>
            </w:r>
            <w:r>
              <w:rPr>
                <w:rtl w:val="0"/>
              </w:rPr>
              <w:br/>
            </w:r>
            <w:r>
              <w:rPr>
                <w:rtl w:val="0"/>
              </w:rPr>
              <w:br/>
            </w:r>
            <w:r>
              <w:rPr>
                <w:rtl w:val="0"/>
              </w:rPr>
              <w:br/>
            </w:r>
            <w:r>
              <w:rPr>
                <w:b/>
                <w:bCs/>
                <w:rtl w:val="0"/>
              </w:rPr>
              <w:t>Nguyễn Sinh Nhật Tân</w:t>
            </w:r>
          </w:p>
        </w:tc>
      </w:tr>
    </w:tbl>
    <w:p>
      <w:pPr>
        <w:bidi w:val="0"/>
        <w:spacing w:before="120" w:beforeAutospacing="0" w:after="280" w:afterAutospacing="1"/>
        <w:rPr>
          <w:rtl w:val="0"/>
        </w:rPr>
      </w:pPr>
      <w:r>
        <w:rPr>
          <w:rtl w:val="0"/>
        </w:rPr>
        <w:t> </w:t>
      </w:r>
    </w:p>
    <w:p>
      <w:pPr>
        <w:shd w:val="solid" w:color="FFFFFF" w:fill="auto"/>
        <w:bidi w:val="0"/>
        <w:spacing w:before="120" w:beforeAutospacing="0" w:after="280" w:afterAutospacing="1"/>
        <w:jc w:val="center"/>
        <w:rPr>
          <w:rtl w:val="0"/>
        </w:rPr>
      </w:pPr>
      <w:bookmarkStart w:id="19" w:name="chuong_pl"/>
      <w:r>
        <w:rPr>
          <w:b/>
          <w:bCs/>
          <w:rtl w:val="0"/>
        </w:rPr>
        <w:t>PHỤ LỤC</w:t>
      </w:r>
      <w:bookmarkEnd w:id="19"/>
    </w:p>
    <w:p>
      <w:pPr>
        <w:shd w:val="solid" w:color="FFFFFF" w:fill="auto"/>
        <w:bidi w:val="0"/>
        <w:spacing w:before="120" w:beforeAutospacing="0" w:after="280" w:afterAutospacing="1"/>
        <w:jc w:val="center"/>
        <w:rPr>
          <w:rtl w:val="0"/>
        </w:rPr>
      </w:pPr>
      <w:r>
        <w:rPr>
          <w:i/>
          <w:iCs/>
          <w:rtl w:val="0"/>
        </w:rPr>
        <w:t>(Ban hành kèm theo Thông tư số 34/2025/TT-BCT ngày 02 tháng 6 năm 2025 của Bộ trưởng Bộ Công Thương)</w:t>
      </w:r>
    </w:p>
    <w:p>
      <w:pPr>
        <w:shd w:val="solid" w:color="FFFFFF" w:fill="auto"/>
        <w:bidi w:val="0"/>
        <w:spacing w:before="120" w:beforeAutospacing="0" w:after="280" w:afterAutospacing="1"/>
        <w:jc w:val="center"/>
        <w:rPr>
          <w:rtl w:val="0"/>
        </w:rPr>
      </w:pPr>
      <w:bookmarkStart w:id="20" w:name="chuong_pl_name"/>
      <w:r>
        <w:rPr>
          <w:b/>
          <w:bCs/>
          <w:rtl w:val="0"/>
        </w:rPr>
        <w:t>DANH MỤC HÀNG HÓA NHẬP KHẨU DƯỚI HÌNH THỨC MUA BÁN, TRAO ĐỔI CỦA CƯ DÂN BIÊN GIỚI</w:t>
      </w:r>
      <w:bookmarkEnd w:id="20"/>
    </w:p>
    <w:p>
      <w:pPr>
        <w:shd w:val="solid" w:color="FFFFFF" w:fill="auto"/>
        <w:bidi w:val="0"/>
        <w:spacing w:before="120" w:beforeAutospacing="0" w:after="280" w:afterAutospacing="1"/>
        <w:rPr>
          <w:rtl w:val="0"/>
        </w:rPr>
      </w:pPr>
      <w:r>
        <w:rPr>
          <w:b/>
          <w:bCs/>
          <w:rtl w:val="0"/>
        </w:rPr>
        <w:t>I. Nguyên tắc áp dụng</w:t>
      </w:r>
    </w:p>
    <w:p>
      <w:pPr>
        <w:shd w:val="solid" w:color="FFFFFF" w:fill="auto"/>
        <w:bidi w:val="0"/>
        <w:spacing w:before="120" w:beforeAutospacing="0" w:after="280" w:afterAutospacing="1"/>
        <w:rPr>
          <w:rtl w:val="0"/>
        </w:rPr>
      </w:pPr>
      <w:r>
        <w:rPr>
          <w:rtl w:val="0"/>
        </w:rPr>
        <w:t>1. Các trường hợp liệt kê mã HS 2 số thì áp dụng đối với toàn bộ các mã HS 8 số thuộc Chương này.</w:t>
      </w:r>
    </w:p>
    <w:p>
      <w:pPr>
        <w:shd w:val="solid" w:color="FFFFFF" w:fill="auto"/>
        <w:bidi w:val="0"/>
        <w:spacing w:before="120" w:beforeAutospacing="0" w:after="280" w:afterAutospacing="1"/>
        <w:rPr>
          <w:rtl w:val="0"/>
        </w:rPr>
      </w:pPr>
      <w:r>
        <w:rPr>
          <w:rtl w:val="0"/>
        </w:rPr>
        <w:t>2. Các trường hợp liệt kê mã HS 4 số thì áp dụng đối với toàn bộ các mã HS 8 số thuộc nhóm 4 số này.</w:t>
      </w:r>
    </w:p>
    <w:p>
      <w:pPr>
        <w:shd w:val="solid" w:color="FFFFFF" w:fill="auto"/>
        <w:bidi w:val="0"/>
        <w:spacing w:before="120" w:beforeAutospacing="0" w:after="280" w:afterAutospacing="1"/>
        <w:rPr>
          <w:rtl w:val="0"/>
        </w:rPr>
      </w:pPr>
      <w:r>
        <w:rPr>
          <w:rtl w:val="0"/>
        </w:rPr>
        <w:t>3. Các trường hợp liệt kê mã HS 6 số thì áp dụng đối với toàn bộ các mã HS 8 số thuộc phân nhóm 6 số này.</w:t>
      </w:r>
    </w:p>
    <w:p>
      <w:pPr>
        <w:shd w:val="solid" w:color="FFFFFF" w:fill="auto"/>
        <w:bidi w:val="0"/>
        <w:spacing w:before="120" w:beforeAutospacing="0" w:after="280" w:afterAutospacing="1"/>
        <w:rPr>
          <w:rtl w:val="0"/>
        </w:rPr>
      </w:pPr>
      <w:r>
        <w:rPr>
          <w:rtl w:val="0"/>
        </w:rPr>
        <w:t>4. Các trường hợp liệt kê đến mã HS 8 số thì chỉ áp dụng đối với mã HS 8 số đó.</w:t>
      </w:r>
    </w:p>
    <w:p>
      <w:pPr>
        <w:shd w:val="solid" w:color="FFFFFF" w:fill="auto"/>
        <w:bidi w:val="0"/>
        <w:spacing w:before="120" w:beforeAutospacing="0" w:after="280" w:afterAutospacing="1"/>
        <w:rPr>
          <w:rtl w:val="0"/>
        </w:rPr>
      </w:pPr>
      <w:r>
        <w:rPr>
          <w:b/>
          <w:bCs/>
          <w:rtl w:val="0"/>
        </w:rPr>
        <w:t>II. Danh Mục chi tiết</w:t>
      </w:r>
    </w:p>
    <w:tbl>
      <w:tblPr>
        <w:tblW w:w="5000" w:type="pct"/>
        <w:jc w:val="left"/>
        <w:tblCellMar>
          <w:top w:w="0" w:type="dxa"/>
          <w:left w:w="0" w:type="dxa"/>
          <w:bottom w:w="0" w:type="dxa"/>
          <w:right w:w="0" w:type="dxa"/>
        </w:tblCellMar>
      </w:tblPr>
      <w:tblGrid>
        <w:gridCol w:w="1390"/>
        <w:gridCol w:w="863"/>
        <w:gridCol w:w="595"/>
        <w:gridCol w:w="717"/>
        <w:gridCol w:w="1"/>
        <w:gridCol w:w="5074"/>
        <w:gridCol w:w="1"/>
      </w:tblGrid>
      <w:tr>
        <w:tblPrEx>
          <w:tblW w:w="5000" w:type="pct"/>
          <w:jc w:val="left"/>
          <w:tblCellMar>
            <w:top w:w="0" w:type="dxa"/>
            <w:left w:w="0" w:type="dxa"/>
            <w:bottom w:w="0" w:type="dxa"/>
            <w:right w:w="0" w:type="dxa"/>
          </w:tblCellMar>
        </w:tblPrEx>
        <w:trPr>
          <w:trHeight w:val="15"/>
          <w:jc w:val="left"/>
        </w:trPr>
        <w:tc>
          <w:tcPr>
            <w:tcW w:w="1979" w:type="pct"/>
            <w:gridSpan w:val="4"/>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rtl w:val="0"/>
              </w:rPr>
              <w:t>Mã số</w:t>
            </w:r>
          </w:p>
        </w:tc>
        <w:tc>
          <w:tcPr>
            <w:tcW w:w="3021"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rtl w:val="0"/>
              </w:rPr>
              <w:t>Mô tả hàng hóa</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rtl w:val="0"/>
              </w:rPr>
              <w:t>Chương</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rtl w:val="0"/>
              </w:rPr>
              <w:t>Nhóm</w:t>
            </w:r>
          </w:p>
        </w:tc>
        <w:tc>
          <w:tcPr>
            <w:tcW w:w="769" w:type="pct"/>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rtl w:val="0"/>
              </w:rPr>
              <w:t>Phân nhóm</w:t>
            </w:r>
          </w:p>
        </w:tc>
        <w:tc>
          <w:tcPr>
            <w:tcW w:w="0" w:type="auto"/>
            <w:gridSpan w:val="2"/>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03</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0301</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Cá sống</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0305</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Cá, làm khô, muối hoặc ngâm nước muối; cá hun khói, đã hoặc chưa làm chín trước hoặc trong quá trình hun khói</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0306</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Động vật giáp xác, đã hoặc chưa bóc mai, vỏ, sống, tươi, ướp lạnh, đông lạnh, khô, muối hoặc ngâm nước muối; động vật giáp xác hun khói, đã hoặc chưa bóc mai, vỏ, đã hoặc chưa làm chín trước hoặc trong quá trình hun khói; động vật giáp xác chưa bóc mai, vỏ, đã hấp chín hoặc luộc chín trong nước, đã hoặc chưa ướp lạnh, đông lạnh, khô, muối, hoặc ngâm nước muối</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0307</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Động vật thân mềm, đã hoặc chưa bóc mai, vỏ, sống, tươi, ướp lạnh, đông lạnh, khô, muối hoặc ngâm nước muối; động vật thân mềm hun khói, đã hoặc chưa bóc mai, vỏ, đã hoặc chưa làm chín trước hoặc trong quá trình hun khói</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0308</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Động vật thủy sinh không xương sống trừ động vật giáp xác và động vật thân mềm, sống, tươi, ướp lạnh, đông lạnh, khô, muối hoặc ngâm nước muối; động vật thủy sinh không xương sống hun khói trừ động vật giáp xác và động vật thân mềm, đã hoặc chưa làm chín trước hoặc trong quá trình hun khói</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04</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0409</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00</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00</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Mật ong tự nhiên</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06</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0601</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Củ, thân củ, rễ củ, thân ống và thân rễ, ở dạng ngủ, dạng sinh trưởng hoặc ở dạng hoa; cây và rễ rau diếp xoăn, trừ các loại rễ thuộc nhóm 12.12</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0603</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Cành hoa và nụ hoa dùng làm hoa bó hoặc để trang trí, tươi, khô, đã nhuộm, tẩy, thấm tẩm hoặc xử lý cách khác</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07</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Toàn bộ Chương 7 (trừ các mã HS: 0701.10.00, 0703.10.11, 0703.10.21, 0703.20.10, 0703.90.10, 0713.20.10, 0713.31.10, 0713.32.10, 0713.33.10, 0713.34.10, 0713.35.10, 0713.39.10, 0713.40.10, 0713.50.10, 0713.60.10, 0713.90.10).</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08</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Toàn bộ Chương 8</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09</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Hạt tiêu thuộc chi Piper; quả ớt thuộc chi Capsicum hoặc chi Pimenta, khô hoặc xay hoặc nghiền</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0904</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11</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Chưa xay hoặc chưa nghiền:</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0904</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11</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10</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Trắng</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0904</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11</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20</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Đen</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0904</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11</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90</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Loại khác</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0904</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12</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Đã xay hoặc nghiền:</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0904</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12</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10</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Trắng</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0904</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12</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20</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Đen</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0904</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12</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90</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Loại khác</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10</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1005</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Ngô (trừ các mã HS: 1005.10.00)</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1006</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Lúa gạo (trừ mã HS: 1006.10.10)</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11</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Bột mì:</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1101</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00</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11</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Tăng cường vi chất dinh dưỡng</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1101</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00</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19</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1102</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Bột ngũ cốc, trừ bột mì hoặc bột meslin</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1108</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11</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00</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Tinh bột mì</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1108</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12</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00</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Tinh bột ngô</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1108</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13</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00</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Tinh bột khoai tây</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1108</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14</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00</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Tinh bột sắn</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12</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1201</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Đậu tương, đã hoặc chưa vỡ mảnh (trừ mã HS: 1201.10.00)</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1202</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Lạc chưa rang, hoặc chưa làm chín cách khác, đã hoặc chưa bóc vỏ hoặc vỡ mảnh (trừ mã HS: 1202.30.00)</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1207</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10</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Hạt cọ và nhân hạt cọ:</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1207</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40</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Hạt vừng:</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13</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1301</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Nhựa cánh kiến đỏ; gôm tự nhiên, nhựa cây, nhựa gôm và nhựa dầu tự nhiên (ví dụ, nhựa thơm từ cây balsam)</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14</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1401</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Nguyên liệu thực vật chủ yếu dùng để tết bện (như: tre, song, mây, sậy, liễu gai, cây bấc, cọ sợi, các loại rơm, rạ ngũ cốc đã làm sạch, tẩy trắng hoặc đã nhuộm và vỏ cây đoạn)</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19</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1902</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30</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Sản phẩm từ bột nhào khác:</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20</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Các chế phẩm từ rau, quả, quả hạch (nuts) hoặc các phần khác của cây</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2008</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19</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10</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 Hạt Điều</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25</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2501</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00</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10</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Muối thực phẩm</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2505</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Các loại cát tự nhiên, đã hoặc chưa nhuộm màu, trừ cát chứa kim loại thuộc Chương 26</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2523</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Xi măng poóc lăng, xi măng nhôm, xi măng xỉ (xốp), xi măng super sulphat và xi măng thủy lực tương tự, đã hoặc chưa pha màu hoặc ở dạng clanhke</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 </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Xi măng poóc lăng:</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2523</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21</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00</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Xi măng trắng, đã hoặc chưa pha màu nhân tạo</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2523</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29</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2523</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29</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10</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 Xi măng màu</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2523</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29</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90</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 Loại khác</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2523</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30</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00</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Xi măng nhôm</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2523</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90</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00</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Xi măng thủy lực khác</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27</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2701</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Than đá; than bánh, than quả bàng và nhiên liệu rắn tương tự sản xuất từ than đá</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2702</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Than non, đã hoặc chưa đóng bánh, trừ than huyền</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2703</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Than bùn (kể cả bùn rác), đã hoặc chưa đóng bánh</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2704</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Than cốc và than nửa cốc luyện từ than đá, than non hoặc than bùn, đã hoặc chưa đóng bánh; muội bình chưng than đá</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2705</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00</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00</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Khí than đá, khí than ướt, khí than và các loại khí tương tự, trừ các loại khí dầu mỏ và khí hydrocarbon khác</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31</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3102</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10</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00</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Urê, có hoặc không ở trong dung dịch nước</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39</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3918</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Tấm trải sàn bằng plastic, có hoặc không tự dính, dạng cuộn hoặc dạng tấm rời để ghép; tấm phủ tường hoặc phủ trần bằng plastic, như đã nêu trong Chú giải 9 của Chương này</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3924</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Bộ đồ ăn, bộ đồ dùng nhà bếp, các sản phẩm gia dụng khác và các sản phẩm phục vụ vệ sinh, bằng plastic</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40</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4001</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Cao su tự nhiên, nhựa cây balata, nhựa két, nhựa cây cúc cao su, nhựa chicle và các loại nhựa tự nhiên tương tự, ở dạng nguyên sinh hoặc dạng tấm, tờ hoặc dải</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4011</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Lốp bằng cao su loại bơm hơi, chưa qua sử dụng</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4015</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19</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Loại khác</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42</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4202</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12</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Mặt ngoài bằng plastic hoặc vật liệu dệt:</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44</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Toàn bộ Chương 44</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48</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4803</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00</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90</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Loại khác</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61</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Toàn bộ Chương 61</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62</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Toàn bộ Chương 62</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63</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6301</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Chăn và chăn du lịch</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6302</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Vỏ ga, vỏ gối, khăn trải giường (bed linen), khăn trải bàn, khăn trong phòng vệ sinh và khăn nhà bếp</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6303</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Màn che (kể cả rèm trang trí) và rèm mờ che phía trong; diềm màn che hoặc diềm giường</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64</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Toàn bộ Chương 64</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66</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Toàn bộ Chương 66</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68</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6801</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00</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00</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Các loại đá lát, đá lát lề đường và phiến đá lát đường, bằng đá tự nhiên (trừ đá phiến)</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69</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6902</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Gạch, gạch khối, tấm lát (tiles) chịu lửa và các loại vật liệu xây dựng bằng gốm, sứ chịu lửa tương tự, trừ các sản phẩm làm bằng bột silic hóa thạch hoặc đất silic tương tự</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6907</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23</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93</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 - Gạch lát đường, lát nền và lòng lò hoặc gạch ốp tường, đã tráng men</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6911</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Bộ đồ ăn, bộ đồ nhà bếp, đồ gia dụng và đồ sứ vệ sinh khác, bằng sứ</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73</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7308</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Các kết cấu (trừ nhà lắp ghép thuộc nhóm 94.06) và các bộ phận rời của các kết cấu (ví dụ, cầu và nhịp cầu, cửa cống, tháp, cột lưới, mái nhà, khung mái, cửa ra vào, cửa sổ, và các loại khung cửa, ngưỡng cửa ra vào, cửa chớp, lan can, cột trụ và các loại cột khác), bằng sắt hoặc thép; tấm, thanh, góc, khuôn, hình, ống và các loại tương tự, đã được gia công để dùng làm kết cấu, bằng sắt hoặc thép</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7323</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Bộ đồ ăn, đồ nhà bếp hoặc các loại đồ gia dụng khác và các bộ phận của chúng, bằng sắt hoặc thép; bùi nhùi bằng sắt hoặc thép; miếng cọ nồi và cọ rửa hoặc đánh bóng, găng tay và các loại tương tự, bằng sắt hoặc thép</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82</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8201</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Dụng cụ cầm tay, gồm: mai, xẻng, cuốc chim, cuốc, dụng cụ xới và làm tơi đất, chĩa và cào; rìu, câu liêm và các dụng cụ tương tự dùng để cắt chặt; kéo cắt cây và kéo cắt tỉa các loại; hái, liềm, dao cắt cỏ, kéo tỉa xén hàng rào, cái nêm gỗ và các dụng cụ khác dùng trong nông nghiệp, làm vườn hoặc trong lâm nghiệp</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8215</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Thìa, dĩa, muôi, thìa hớt kem, hớt bọt, đồ xúc bánh, dao ăn cá, dao cắt bơ, kẹp gắp đường và các loại đồ dùng nhà bếp hoặc bộ đồ ăn tương tự</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84</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8413</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70</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31</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 Với đường kính cửa hút không quá 200 mm</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8413</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70</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42</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 Với đường kính cửa hút không quá 200 mm, hoạt động bằng điện</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8413</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70</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43</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 Với đường kính cửa hút không quá 200 mm, không hoạt động bằng điện</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8437</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Máy làm sạch, tuyển chọn hoặc phân loại hạt giống, hạt hoặc các loại rau đậu đã được làm khô; máy dùng trong công nghiệp xay sát hoặc dùng cho chế biến ngũ cốc hoặc rau đậu đã được làm khô, trừ các loại máy nông nghiệp</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85</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8507</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Ắc qui điện, kể cả tấm vách ngăn của nó, có hoặc không ở dạng hình chữ nhật (kể cả hình vuông). (Trừ mã HS 8507.10.10)</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8536</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Thiết bị điện để đóng ngắt mạch hoặc bảo vệ mạch điện, hoặc dùng để đấu nối hoặc lắp trong mạch điện (ví dụ, cầu dao, rơ le, công tắc, chi tiết đóng ngắt mạch, cầu chì, bộ triệt xung điện, phích cắm, ổ cắm, đui đèn và các đầu nối khác, hộp đấu nối), dùng cho điện áp không quá 1.000V; đầu nối dùng cho sợi quang, bó sợi quang hoặc cáp quang</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8539</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Bóng đèn dây tóc hoặc bóng đèn phóng điện, kể cả đèn pha gắn kín và bóng đèn tia cực tím hoặc tia hồng ngoại; bóng đèn hồ quang; nguồn sáng đi-ốt phát quang (LED)</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8544</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Dây điện, cáp điện (kể cả cáp đồng trục) có cách điện (kể cả loại đã tráng men cách điện hoặc mạ lớp cách điện) và các vật dẫn có cách điện khác, đã hoặc chưa gắn với đầu nối; cáp sợi quang, làm bằng các bó sợi đơn có vỏ bọc riêng biệt từng sợi, có hoặc không gắn với dây dẫn điện hoặc gắn với đầu nối</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87</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8712</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00</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20</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Xe đạp được thiết kế dành cho trẻ em</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94</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9403</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30</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00</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Đồ nội thất bằng gỗ loại sử dụng trong văn phòng</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9403</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40</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00</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Đồ nội thất bằng gỗ loại sử dụng trong nhà bếp</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9403</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50</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00</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Đồ nội thất bằng gỗ loại sử dụng trong phòng ngủ</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Đồ nội thất bằng vật liệu khác, kể cả mây, liễu gai, tre hoặc các vật liệu tương tự:</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9403</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82</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00</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Bằng tre</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9403</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83</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00</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 Bằng song, mây</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Chương 96</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9608</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Bút bi; bút phớt và bút phớt có ruột khác và bút đánh dấu; bút máy, bút máy ngòi ống và các loại bút khác; bút viết giấy nhân bản (duplicating stylos); các loại bút chì bấm hoặc bút chì đẩy; quản bút mực, quản bút chì và các loại quản bút tương tự; bộ phận (kể cả nắp và kẹp bút) của các loại bút kể trên, trừ các loại thuộc nhóm 96.09</w:t>
            </w:r>
          </w:p>
        </w:tc>
      </w:tr>
      <w:tr>
        <w:tblPrEx>
          <w:tblW w:w="5000" w:type="pct"/>
          <w:jc w:val="left"/>
          <w:tblCellMar>
            <w:top w:w="0" w:type="dxa"/>
            <w:left w:w="0" w:type="dxa"/>
            <w:bottom w:w="0" w:type="dxa"/>
            <w:right w:w="0" w:type="dxa"/>
          </w:tblCellMar>
        </w:tblPrEx>
        <w:trPr>
          <w:trHeight w:val="15"/>
          <w:jc w:val="left"/>
        </w:trPr>
        <w:tc>
          <w:tcPr>
            <w:tcW w:w="81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9609</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4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 </w:t>
            </w:r>
          </w:p>
        </w:tc>
        <w:tc>
          <w:tcPr>
            <w:tcW w:w="3021"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rtl w:val="0"/>
              </w:rPr>
              <w:t>Bút chì (trừ các loại bút chì thuộc nhóm 96.08), bút màu, ruột chì, phấn màu, than vẽ, phấn vẽ hoặc viết và phấn thợ may</w:t>
            </w:r>
          </w:p>
        </w:tc>
      </w:tr>
    </w:tbl>
    <w:p>
      <w:pPr>
        <w:bidi w:val="0"/>
        <w:spacing w:before="120" w:beforeAutospacing="0" w:after="280" w:afterAutospacing="1"/>
        <w:rPr>
          <w:rtl w:val="0"/>
        </w:rPr>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