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2976"/>
        <w:gridCol w:w="5664"/>
      </w:tblGrid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3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center"/>
              <w:rPr>
                <w:rtl w:val="0"/>
              </w:rPr>
            </w:pPr>
            <w:r>
              <w:rPr>
                <w:b/>
                <w:bCs/>
                <w:rtl w:val="0"/>
              </w:rPr>
              <w:t>BỘ KHOA HỌC VÀ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CÔNG NGHỆ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-------</w:t>
            </w:r>
          </w:p>
        </w:tc>
        <w:tc>
          <w:tcPr>
            <w:tcW w:w="5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center"/>
              <w:rPr>
                <w:rtl w:val="0"/>
              </w:rPr>
            </w:pPr>
            <w:r>
              <w:rPr>
                <w:b/>
                <w:bCs/>
                <w:rtl w:val="0"/>
              </w:rPr>
              <w:t>CỘNG HÒA XÃ HỘI CHỦ NGHĨA VIỆT NAM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 xml:space="preserve">Độc lập - Tự do - Hạnh phúc 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---------------</w:t>
            </w:r>
          </w:p>
        </w:tc>
      </w:tr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340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center"/>
              <w:rPr>
                <w:rtl w:val="0"/>
              </w:rPr>
            </w:pPr>
            <w:r>
              <w:rPr>
                <w:rtl w:val="0"/>
              </w:rPr>
              <w:t>Số: 2284/QĐ-BKHCN</w:t>
            </w:r>
          </w:p>
        </w:tc>
        <w:tc>
          <w:tcPr>
            <w:tcW w:w="54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right"/>
              <w:rPr>
                <w:rtl w:val="0"/>
              </w:rPr>
            </w:pPr>
            <w:r>
              <w:rPr>
                <w:i/>
                <w:iCs/>
                <w:rtl w:val="0"/>
              </w:rPr>
              <w:t>Hà Nội, ngày 13 tháng 9 năm 2021</w:t>
            </w:r>
          </w:p>
        </w:tc>
      </w:tr>
    </w:tbl>
    <w:p>
      <w:pPr>
        <w:bidi w:val="0"/>
        <w:spacing w:before="120" w:beforeAutospacing="0" w:after="280" w:afterAutospacing="1"/>
      </w:pPr>
      <w:r>
        <w:rPr>
          <w:rtl w:val="0"/>
        </w:rPr>
        <w:t> </w:t>
      </w:r>
    </w:p>
    <w:p>
      <w:pPr>
        <w:bidi w:val="0"/>
        <w:spacing w:before="120" w:beforeAutospacing="0" w:after="280" w:afterAutospacing="1"/>
        <w:jc w:val="center"/>
      </w:pPr>
      <w:bookmarkStart w:id="0" w:name="loai_1"/>
      <w:r>
        <w:rPr>
          <w:b/>
          <w:bCs/>
          <w:sz w:val="24"/>
          <w:rtl w:val="0"/>
        </w:rPr>
        <w:t>QUYẾT ĐỊNH</w:t>
      </w:r>
      <w:bookmarkEnd w:id="0"/>
    </w:p>
    <w:p>
      <w:pPr>
        <w:bidi w:val="0"/>
        <w:spacing w:before="120" w:beforeAutospacing="0" w:after="280" w:afterAutospacing="1"/>
        <w:jc w:val="center"/>
      </w:pPr>
      <w:bookmarkStart w:id="1" w:name="loai_1_name"/>
      <w:r>
        <w:rPr>
          <w:rtl w:val="0"/>
        </w:rPr>
        <w:t xml:space="preserve">VỀ VIỆC CÔNG BỐ TIÊU CHUẨN QUỐC GIA </w:t>
      </w:r>
      <w:bookmarkEnd w:id="1"/>
    </w:p>
    <w:p>
      <w:pPr>
        <w:bidi w:val="0"/>
        <w:spacing w:before="120" w:beforeAutospacing="0" w:after="280" w:afterAutospacing="1"/>
        <w:jc w:val="center"/>
      </w:pPr>
      <w:r>
        <w:rPr>
          <w:b/>
          <w:bCs/>
          <w:sz w:val="24"/>
          <w:rtl w:val="0"/>
        </w:rPr>
        <w:t>BỘ TRƯỞNG</w:t>
      </w:r>
      <w:r>
        <w:rPr>
          <w:b/>
          <w:bCs/>
          <w:sz w:val="24"/>
          <w:rtl w:val="0"/>
        </w:rPr>
        <w:br/>
      </w:r>
      <w:r>
        <w:rPr>
          <w:b/>
          <w:bCs/>
          <w:sz w:val="24"/>
          <w:rtl w:val="0"/>
        </w:rPr>
        <w:t>BỘ KHOA HỌC VÀ CÔNG NGHỆ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 xml:space="preserve">Căn cứ </w:t>
      </w:r>
      <w:bookmarkStart w:id="2" w:name="tvpllink_kxrgdzzzod"/>
      <w:r>
        <w:rPr>
          <w:i/>
          <w:iCs/>
          <w:rtl w:val="0"/>
        </w:rPr>
        <w:t>Luật Tiêu chuẩn và Quy chuẩn kỹ thuật</w:t>
      </w:r>
      <w:bookmarkEnd w:id="2"/>
      <w:r>
        <w:rPr>
          <w:i/>
          <w:iCs/>
          <w:rtl w:val="0"/>
        </w:rPr>
        <w:t xml:space="preserve"> ngày 29/6/2006;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 xml:space="preserve">Căn cứ Nghị định số </w:t>
      </w:r>
      <w:bookmarkStart w:id="3" w:name="tvpllink_povzrhcacg"/>
      <w:r>
        <w:rPr>
          <w:i/>
          <w:iCs/>
          <w:rtl w:val="0"/>
        </w:rPr>
        <w:t>127/2007/NĐ-CP</w:t>
      </w:r>
      <w:bookmarkEnd w:id="3"/>
      <w:r>
        <w:rPr>
          <w:i/>
          <w:iCs/>
          <w:rtl w:val="0"/>
        </w:rPr>
        <w:t xml:space="preserve"> ngày 01/8/2007 của Chính phủ quy định chi tiết thi hành một số điều của </w:t>
      </w:r>
      <w:bookmarkStart w:id="4" w:name="tvpllink_kxrgdzzzod_1"/>
      <w:r>
        <w:rPr>
          <w:i/>
          <w:iCs/>
          <w:rtl w:val="0"/>
        </w:rPr>
        <w:t>Luật Tiêu chuẩn và Quy chuẩn kỹ thuật</w:t>
      </w:r>
      <w:bookmarkEnd w:id="4"/>
      <w:r>
        <w:rPr>
          <w:i/>
          <w:iCs/>
          <w:rtl w:val="0"/>
        </w:rPr>
        <w:t>;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 xml:space="preserve">Căn cứ Nghị định số </w:t>
      </w:r>
      <w:bookmarkStart w:id="5" w:name="tvpllink_hmtmrggeyq"/>
      <w:r>
        <w:rPr>
          <w:i/>
          <w:iCs/>
          <w:rtl w:val="0"/>
        </w:rPr>
        <w:t>78/2018/NĐ-CP</w:t>
      </w:r>
      <w:bookmarkEnd w:id="5"/>
      <w:r>
        <w:rPr>
          <w:i/>
          <w:iCs/>
          <w:rtl w:val="0"/>
        </w:rPr>
        <w:t xml:space="preserve"> ngày 16/5/2018 của Chính phủ sửa đổi, bổ sung một số điều của Nghị định số </w:t>
      </w:r>
      <w:bookmarkStart w:id="6" w:name="tvpllink_povzrhcacg_1"/>
      <w:r>
        <w:rPr>
          <w:i/>
          <w:iCs/>
          <w:rtl w:val="0"/>
        </w:rPr>
        <w:t>127/2007/NĐ-CP</w:t>
      </w:r>
      <w:bookmarkEnd w:id="6"/>
      <w:r>
        <w:rPr>
          <w:i/>
          <w:iCs/>
          <w:rtl w:val="0"/>
        </w:rPr>
        <w:t xml:space="preserve"> ngày 01/8/2007 của Chính phủ quy định chi tiết thi hành một số điều </w:t>
      </w:r>
      <w:bookmarkStart w:id="7" w:name="tvpllink_kxrgdzzzod_2"/>
      <w:r>
        <w:rPr>
          <w:i/>
          <w:iCs/>
          <w:rtl w:val="0"/>
        </w:rPr>
        <w:t>Luật Tiêu chuẩn và Quy chuẩn kỹ thuật</w:t>
      </w:r>
      <w:bookmarkEnd w:id="7"/>
      <w:r>
        <w:rPr>
          <w:i/>
          <w:iCs/>
          <w:rtl w:val="0"/>
        </w:rPr>
        <w:t>;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 xml:space="preserve">Căn cứ Nghị định số </w:t>
      </w:r>
      <w:bookmarkStart w:id="8" w:name="tvpllink_wejspragmj"/>
      <w:r>
        <w:rPr>
          <w:i/>
          <w:iCs/>
          <w:rtl w:val="0"/>
        </w:rPr>
        <w:t>95/2017/NĐ-CP</w:t>
      </w:r>
      <w:bookmarkEnd w:id="8"/>
      <w:r>
        <w:rPr>
          <w:i/>
          <w:iCs/>
          <w:rtl w:val="0"/>
        </w:rPr>
        <w:t xml:space="preserve"> ngày 16/8/2017 của Chính phủ quy định chức năng, nhiệm vụ, quyền hạn và cơ cấu tổ chức của Bộ Khoa học và Công nghệ;</w:t>
      </w:r>
    </w:p>
    <w:p>
      <w:pPr>
        <w:bidi w:val="0"/>
        <w:spacing w:before="120" w:beforeAutospacing="0" w:after="280" w:afterAutospacing="1"/>
      </w:pPr>
      <w:r>
        <w:rPr>
          <w:i/>
          <w:iCs/>
          <w:rtl w:val="0"/>
        </w:rPr>
        <w:t>Theo đề nghị của Tổng cục trưởng Tổng cục Tiêu chuẩn Đo lường Chất lượng.</w:t>
      </w:r>
    </w:p>
    <w:p>
      <w:pPr>
        <w:bidi w:val="0"/>
        <w:spacing w:before="120" w:beforeAutospacing="0" w:after="280" w:afterAutospacing="1"/>
        <w:jc w:val="center"/>
      </w:pPr>
      <w:r>
        <w:rPr>
          <w:b/>
          <w:bCs/>
          <w:sz w:val="24"/>
          <w:rtl w:val="0"/>
        </w:rPr>
        <w:t>QUYẾT ĐỊNH:</w:t>
      </w:r>
    </w:p>
    <w:p>
      <w:pPr>
        <w:bidi w:val="0"/>
        <w:spacing w:before="120" w:beforeAutospacing="0" w:after="280" w:afterAutospacing="1"/>
      </w:pPr>
      <w:bookmarkStart w:id="9" w:name="dieu_1"/>
      <w:r>
        <w:rPr>
          <w:b/>
          <w:bCs/>
          <w:rtl w:val="0"/>
        </w:rPr>
        <w:t>Điều 1.</w:t>
      </w:r>
      <w:bookmarkEnd w:id="9"/>
      <w:r>
        <w:rPr>
          <w:rtl w:val="0"/>
        </w:rPr>
        <w:t xml:space="preserve"> </w:t>
      </w:r>
      <w:bookmarkStart w:id="10" w:name="dieu_1_name"/>
      <w:r>
        <w:rPr>
          <w:rtl w:val="0"/>
        </w:rPr>
        <w:t>Công bố 06 Tiêu chuẩn quốc gia (TCVN) sau đây:</w:t>
      </w:r>
      <w:bookmarkEnd w:id="10"/>
    </w:p>
    <w:tbl>
      <w:tblPr>
        <w:tblW w:w="5000" w:type="pct"/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738"/>
        <w:gridCol w:w="1899"/>
        <w:gridCol w:w="6003"/>
      </w:tblGrid>
      <w:tr>
        <w:tblPrEx>
          <w:tblW w:w="5000" w:type="pct"/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4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rtl w:val="0"/>
              </w:rPr>
              <w:t>1.</w:t>
            </w:r>
          </w:p>
        </w:tc>
        <w:tc>
          <w:tcPr>
            <w:tcW w:w="10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bookmarkStart w:id="11" w:name="tvpllink_ryzpsxsxat"/>
            <w:r>
              <w:rPr>
                <w:rtl w:val="0"/>
              </w:rPr>
              <w:t>TCVN 13335:2021</w:t>
            </w:r>
            <w:bookmarkEnd w:id="11"/>
          </w:p>
        </w:tc>
        <w:tc>
          <w:tcPr>
            <w:tcW w:w="34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rtl w:val="0"/>
              </w:rPr>
              <w:t>Ứng dụng đường sắt - Hệ thống gom điện - Cần lấy điện, các phương pháp thử đối với dải tiếp xúc</w:t>
            </w:r>
          </w:p>
        </w:tc>
      </w:tr>
      <w:tr>
        <w:tblPrEx>
          <w:tblW w:w="5000" w:type="pct"/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4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rtl w:val="0"/>
              </w:rPr>
              <w:t>2.</w:t>
            </w:r>
          </w:p>
        </w:tc>
        <w:tc>
          <w:tcPr>
            <w:tcW w:w="10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bookmarkStart w:id="12" w:name="tvpllink_lobfsqvlcr"/>
            <w:r>
              <w:rPr>
                <w:rtl w:val="0"/>
              </w:rPr>
              <w:t>TCVN 13336:2021</w:t>
            </w:r>
            <w:bookmarkEnd w:id="12"/>
          </w:p>
        </w:tc>
        <w:tc>
          <w:tcPr>
            <w:tcW w:w="34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rtl w:val="0"/>
              </w:rPr>
              <w:t>Ứng dụng đường sắt - Lắp đặt cố định - Nguyên tắc bảo vệ đối với hệ thống điện kéo xoay chiều và một chiều</w:t>
            </w:r>
          </w:p>
        </w:tc>
      </w:tr>
      <w:tr>
        <w:tblPrEx>
          <w:tblW w:w="5000" w:type="pct"/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4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rtl w:val="0"/>
              </w:rPr>
              <w:t>3.</w:t>
            </w:r>
          </w:p>
        </w:tc>
        <w:tc>
          <w:tcPr>
            <w:tcW w:w="10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bookmarkStart w:id="13" w:name="tvpllink_bnwnogisqf"/>
            <w:r>
              <w:rPr>
                <w:rtl w:val="0"/>
              </w:rPr>
              <w:t>TCVN 13337-3:2021</w:t>
            </w:r>
            <w:bookmarkEnd w:id="13"/>
          </w:p>
        </w:tc>
        <w:tc>
          <w:tcPr>
            <w:tcW w:w="34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280" w:afterAutospacing="1"/>
            </w:pPr>
            <w:r>
              <w:rPr>
                <w:rtl w:val="0"/>
              </w:rPr>
              <w:t>Ứng dụng đường sắt - Lắp đặt cố định - An toàn điện, nối đất và mạch điện hồi lưu</w:t>
            </w:r>
          </w:p>
          <w:p>
            <w:pPr>
              <w:bidi w:val="0"/>
              <w:spacing w:before="120" w:beforeAutospacing="0" w:after="0" w:afterAutospacing="0"/>
              <w:rPr>
                <w:rtl w:val="0"/>
              </w:rPr>
            </w:pPr>
            <w:r>
              <w:rPr>
                <w:rtl w:val="0"/>
              </w:rPr>
              <w:t>Phần 3: Tương tác lẫn nhau giữa các hệ thống điện kéo xoay chiều và một chiều</w:t>
            </w:r>
          </w:p>
        </w:tc>
      </w:tr>
      <w:tr>
        <w:tblPrEx>
          <w:tblW w:w="5000" w:type="pct"/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4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rtl w:val="0"/>
              </w:rPr>
              <w:t>4.</w:t>
            </w:r>
          </w:p>
        </w:tc>
        <w:tc>
          <w:tcPr>
            <w:tcW w:w="10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bookmarkStart w:id="14" w:name="tvpllink_mpkzfbgcak"/>
            <w:r>
              <w:rPr>
                <w:rtl w:val="0"/>
              </w:rPr>
              <w:t>TCVN 13338-1:2021</w:t>
            </w:r>
            <w:bookmarkEnd w:id="14"/>
          </w:p>
        </w:tc>
        <w:tc>
          <w:tcPr>
            <w:tcW w:w="34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280" w:afterAutospacing="1"/>
            </w:pPr>
            <w:r>
              <w:rPr>
                <w:rtl w:val="0"/>
              </w:rPr>
              <w:t>Ứng dụng đường sắt - Phối hợp cách điện</w:t>
            </w:r>
          </w:p>
          <w:p>
            <w:pPr>
              <w:bidi w:val="0"/>
              <w:spacing w:before="120" w:beforeAutospacing="0" w:after="0" w:afterAutospacing="0"/>
              <w:rPr>
                <w:rtl w:val="0"/>
              </w:rPr>
            </w:pPr>
            <w:r>
              <w:rPr>
                <w:rtl w:val="0"/>
              </w:rPr>
              <w:t>Phần 1: Yêu cầu cơ bản - Khe hở không khí và chiều dài đường rò đối với các thiết bị điện, điện tử</w:t>
            </w:r>
          </w:p>
        </w:tc>
      </w:tr>
      <w:tr>
        <w:tblPrEx>
          <w:tblW w:w="5000" w:type="pct"/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4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rtl w:val="0"/>
              </w:rPr>
              <w:t>5.</w:t>
            </w:r>
          </w:p>
        </w:tc>
        <w:tc>
          <w:tcPr>
            <w:tcW w:w="10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bookmarkStart w:id="15" w:name="tvpllink_aeekdgyvze"/>
            <w:r>
              <w:rPr>
                <w:rtl w:val="0"/>
              </w:rPr>
              <w:t>TCVN 13338-2:2021</w:t>
            </w:r>
            <w:bookmarkEnd w:id="15"/>
          </w:p>
        </w:tc>
        <w:tc>
          <w:tcPr>
            <w:tcW w:w="34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280" w:afterAutospacing="1"/>
            </w:pPr>
            <w:r>
              <w:rPr>
                <w:rtl w:val="0"/>
              </w:rPr>
              <w:t>Ứng dụng đường sắt - Phối hợp cách điện</w:t>
            </w:r>
          </w:p>
          <w:p>
            <w:pPr>
              <w:bidi w:val="0"/>
              <w:spacing w:before="120" w:beforeAutospacing="0" w:after="0" w:afterAutospacing="0"/>
              <w:rPr>
                <w:rtl w:val="0"/>
              </w:rPr>
            </w:pPr>
            <w:r>
              <w:rPr>
                <w:rtl w:val="0"/>
              </w:rPr>
              <w:t>Phần 2: Quá áp và bảo vệ liên quan</w:t>
            </w:r>
          </w:p>
        </w:tc>
      </w:tr>
      <w:tr>
        <w:tblPrEx>
          <w:tblW w:w="5000" w:type="pct"/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427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rtl w:val="0"/>
              </w:rPr>
              <w:t>6.</w:t>
            </w:r>
          </w:p>
        </w:tc>
        <w:tc>
          <w:tcPr>
            <w:tcW w:w="1099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bookmarkStart w:id="16" w:name="tvpllink_jnyvneynqn"/>
            <w:r>
              <w:rPr>
                <w:rtl w:val="0"/>
              </w:rPr>
              <w:t>TCVN 13339:2021</w:t>
            </w:r>
            <w:bookmarkEnd w:id="16"/>
          </w:p>
        </w:tc>
        <w:tc>
          <w:tcPr>
            <w:tcW w:w="3474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rtl w:val="0"/>
              </w:rPr>
              <w:t>Ứng dụng đường sắt - Cung cấp điện và phương tiện đường sắt - Tiêu chí kỹ thuật đối với sự phối hợp giữa cung cấp điện (trạm điện kéo) và phương tiện đường sắt</w:t>
            </w:r>
          </w:p>
        </w:tc>
      </w:tr>
    </w:tbl>
    <w:p>
      <w:pPr>
        <w:bidi w:val="0"/>
        <w:spacing w:before="120" w:beforeAutospacing="0" w:after="280" w:afterAutospacing="1"/>
      </w:pPr>
      <w:bookmarkStart w:id="17" w:name="dieu_2"/>
      <w:r>
        <w:rPr>
          <w:b/>
          <w:bCs/>
          <w:rtl w:val="0"/>
        </w:rPr>
        <w:t>Điều 2.</w:t>
      </w:r>
      <w:bookmarkEnd w:id="17"/>
      <w:r>
        <w:rPr>
          <w:b/>
          <w:bCs/>
          <w:rtl w:val="0"/>
        </w:rPr>
        <w:t xml:space="preserve"> </w:t>
      </w:r>
      <w:bookmarkStart w:id="18" w:name="dieu_2_name"/>
      <w:r>
        <w:rPr>
          <w:rtl w:val="0"/>
        </w:rPr>
        <w:t>Quyết định này có hiệu lực thi hành kể từ ngày ký.</w:t>
      </w:r>
      <w:bookmarkEnd w:id="18"/>
    </w:p>
    <w:p>
      <w:pPr>
        <w:bidi w:val="0"/>
        <w:spacing w:before="120" w:beforeAutospacing="0" w:after="280" w:afterAutospacing="1"/>
      </w:pPr>
      <w:bookmarkStart w:id="19" w:name="dieu_3"/>
      <w:r>
        <w:rPr>
          <w:b/>
          <w:bCs/>
          <w:rtl w:val="0"/>
        </w:rPr>
        <w:t>Điều 3.</w:t>
      </w:r>
      <w:bookmarkEnd w:id="19"/>
      <w:r>
        <w:rPr>
          <w:rtl w:val="0"/>
        </w:rPr>
        <w:t xml:space="preserve"> </w:t>
      </w:r>
      <w:bookmarkStart w:id="20" w:name="dieu_3_name"/>
      <w:r>
        <w:rPr>
          <w:rtl w:val="0"/>
        </w:rPr>
        <w:t>Tổng cục trưởng Tổng cục Tiêu chuẩn Đo lường Chất lượng và các tổ chức, cá nhân liên quan chịu trách nhiệm thi hành Quyết định này./.</w:t>
      </w:r>
      <w:bookmarkEnd w:id="20"/>
    </w:p>
    <w:p>
      <w:pPr>
        <w:bidi w:val="0"/>
        <w:spacing w:before="120" w:beforeAutospacing="0" w:after="280" w:afterAutospacing="1"/>
      </w:pPr>
      <w:r>
        <w:rPr>
          <w:rtl w:val="0"/>
        </w:rPr>
        <w:t> </w:t>
      </w:r>
    </w:p>
    <w:tbl>
      <w:tblPr>
        <w:jc w:val="left"/>
        <w:tblCellMar>
          <w:top w:w="0" w:type="dxa"/>
          <w:left w:w="0" w:type="dxa"/>
          <w:bottom w:w="0" w:type="dxa"/>
          <w:right w:w="0" w:type="dxa"/>
        </w:tblCellMar>
      </w:tblPr>
      <w:tblGrid>
        <w:gridCol w:w="4299"/>
        <w:gridCol w:w="4341"/>
      </w:tblGrid>
      <w:tr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left"/>
        </w:trPr>
        <w:tc>
          <w:tcPr>
            <w:tcW w:w="44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</w:pPr>
            <w:r>
              <w:rPr>
                <w:b/>
                <w:bCs/>
                <w:i/>
                <w:iCs/>
                <w:rtl w:val="0"/>
              </w:rPr>
              <w:br/>
            </w:r>
            <w:r>
              <w:rPr>
                <w:b/>
                <w:bCs/>
                <w:i/>
                <w:iCs/>
                <w:rtl w:val="0"/>
              </w:rPr>
              <w:t>Nơi nhận:</w:t>
            </w:r>
            <w:r>
              <w:rPr>
                <w:b/>
                <w:bCs/>
                <w:i/>
                <w:iCs/>
                <w:rtl w:val="0"/>
              </w:rPr>
              <w:br/>
            </w:r>
            <w:r>
              <w:rPr>
                <w:sz w:val="16"/>
                <w:rtl w:val="0"/>
              </w:rPr>
              <w:t>- Như Điều 3;</w:t>
            </w:r>
            <w:r>
              <w:rPr>
                <w:sz w:val="16"/>
                <w:rtl w:val="0"/>
              </w:rPr>
              <w:br/>
            </w:r>
            <w:r>
              <w:rPr>
                <w:sz w:val="16"/>
                <w:rtl w:val="0"/>
              </w:rPr>
              <w:t>- Lưu: VT, PC, TĐC.</w:t>
            </w:r>
          </w:p>
        </w:tc>
        <w:tc>
          <w:tcPr>
            <w:tcW w:w="44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 w:val="0"/>
              <w:spacing w:before="120" w:beforeAutospacing="0" w:after="0" w:afterAutospacing="0"/>
              <w:jc w:val="center"/>
            </w:pPr>
            <w:r>
              <w:rPr>
                <w:b/>
                <w:bCs/>
                <w:rtl w:val="0"/>
              </w:rPr>
              <w:t>KT. BỘ TRƯỞNG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THỨ TRƯỞNG</w:t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br/>
            </w:r>
            <w:r>
              <w:rPr>
                <w:b/>
                <w:bCs/>
                <w:rtl w:val="0"/>
              </w:rPr>
              <w:t>Lê Xuân Định</w:t>
            </w:r>
          </w:p>
        </w:tc>
      </w:tr>
    </w:tbl>
    <w:p>
      <w:pPr>
        <w:bidi w:val="0"/>
        <w:spacing w:after="280" w:afterAutospacing="1"/>
      </w:pPr>
      <w:r>
        <w:rPr>
          <w:b/>
          <w:bCs/>
          <w:rtl w:val="0"/>
        </w:rPr>
        <w:t> 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720"/>
  <w:noPunctuationKerning/>
  <w:characterSpacingControl w:val="doNotCompress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