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4"/>
        <w:gridCol w:w="5376"/>
      </w:tblGrid>
      <w:tr>
        <w:tblPrEx>
          <w:tblW w:w="5000" w:type="pct"/>
          <w:jc w:val="left"/>
          <w:tblCellMar>
            <w:top w:w="0" w:type="dxa"/>
            <w:left w:w="0" w:type="dxa"/>
            <w:bottom w:w="0" w:type="dxa"/>
            <w:right w:w="0" w:type="dxa"/>
          </w:tblCellMar>
        </w:tblPrEx>
        <w:trPr>
          <w:jc w:val="left"/>
        </w:trPr>
        <w:tc>
          <w:tcPr>
            <w:tcW w:w="1889" w:type="pct"/>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 xml:space="preserve">BỘ THÔNG TIN VÀ </w:t>
            </w:r>
            <w:r>
              <w:rPr>
                <w:b/>
                <w:bCs/>
                <w:rtl w:val="0"/>
              </w:rPr>
              <w:br/>
            </w:r>
            <w:r>
              <w:rPr>
                <w:b/>
                <w:bCs/>
                <w:rtl w:val="0"/>
              </w:rPr>
              <w:t>TRUYỀN THÔNG</w:t>
            </w:r>
            <w:r>
              <w:rPr>
                <w:b/>
                <w:bCs/>
                <w:rtl w:val="0"/>
              </w:rPr>
              <w:br/>
            </w:r>
            <w:r>
              <w:rPr>
                <w:b/>
                <w:bCs/>
                <w:rtl w:val="0"/>
              </w:rPr>
              <w:t>-------</w:t>
            </w:r>
          </w:p>
        </w:tc>
        <w:tc>
          <w:tcPr>
            <w:tcW w:w="3111" w:type="pct"/>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89" w:type="pct"/>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Số: 22/2018/TT-BTTTT</w:t>
            </w:r>
          </w:p>
        </w:tc>
        <w:tc>
          <w:tcPr>
            <w:tcW w:w="3111" w:type="pct"/>
            <w:shd w:val="clear" w:color="auto" w:fill="auto"/>
            <w:tcMar>
              <w:top w:w="0" w:type="dxa"/>
              <w:left w:w="0" w:type="dxa"/>
              <w:bottom w:w="0" w:type="dxa"/>
              <w:right w:w="0" w:type="dxa"/>
            </w:tcMar>
          </w:tcPr>
          <w:p>
            <w:pPr>
              <w:bidi w:val="0"/>
              <w:spacing w:before="120" w:beforeAutospacing="0" w:after="0" w:afterAutospacing="0"/>
              <w:jc w:val="right"/>
              <w:rPr>
                <w:rtl w:val="0"/>
              </w:rPr>
            </w:pPr>
            <w:r>
              <w:rPr>
                <w:i/>
                <w:iCs/>
                <w:rtl w:val="0"/>
              </w:rPr>
              <w:t>Hà Nội, ngày 28 tháng 12 năm 2018</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BAN HÀNH DANH MỤC HÀNG HÓA NHẬP KHẨU, XUẤT KHẨU TRONG LĨNH VỰC IN, PHÁT HÀNH XUẤT BẢN PHẨM</w:t>
      </w:r>
      <w:bookmarkEnd w:id="1"/>
    </w:p>
    <w:p>
      <w:pPr>
        <w:bidi w:val="0"/>
        <w:spacing w:before="120" w:beforeAutospacing="0" w:after="280" w:afterAutospacing="1"/>
      </w:pPr>
      <w:r>
        <w:rPr>
          <w:i/>
          <w:iCs/>
          <w:rtl w:val="0"/>
        </w:rPr>
        <w:t xml:space="preserve">Căn cứ </w:t>
      </w:r>
      <w:bookmarkStart w:id="2" w:name="tvpllink_knljrggmct"/>
      <w:r>
        <w:rPr>
          <w:i/>
          <w:iCs/>
          <w:rtl w:val="0"/>
        </w:rPr>
        <w:t>Luật Xuất bản</w:t>
      </w:r>
      <w:bookmarkEnd w:id="2"/>
      <w:r>
        <w:rPr>
          <w:i/>
          <w:iCs/>
          <w:rtl w:val="0"/>
        </w:rPr>
        <w:t xml:space="preserve"> ngày 20 tháng 11 năm 2012;</w:t>
      </w:r>
    </w:p>
    <w:p>
      <w:pPr>
        <w:bidi w:val="0"/>
        <w:spacing w:before="120" w:beforeAutospacing="0" w:after="280" w:afterAutospacing="1"/>
      </w:pPr>
      <w:r>
        <w:rPr>
          <w:i/>
          <w:iCs/>
          <w:rtl w:val="0"/>
        </w:rPr>
        <w:t xml:space="preserve">Căn cứ </w:t>
      </w:r>
      <w:bookmarkStart w:id="3" w:name="tvpllink_pugiufdkvo"/>
      <w:r>
        <w:rPr>
          <w:i/>
          <w:iCs/>
          <w:rtl w:val="0"/>
        </w:rPr>
        <w:t>Luật Quản lý ngoại thương</w:t>
      </w:r>
      <w:bookmarkEnd w:id="3"/>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4" w:name="tvpllink_ewcwpomcyf"/>
      <w:r>
        <w:rPr>
          <w:i/>
          <w:iCs/>
          <w:rtl w:val="0"/>
        </w:rPr>
        <w:t>17/2017/NĐ-CP</w:t>
      </w:r>
      <w:bookmarkEnd w:id="4"/>
      <w:r>
        <w:rPr>
          <w:i/>
          <w:iCs/>
          <w:rtl w:val="0"/>
        </w:rPr>
        <w:t xml:space="preserve"> ngày 17 tháng 02 năm 2017 của Chính phủ quy định chức năng, nhiệm vụ, quyền hạn và cơ cấu tổ chức của Bộ Thông tin và Truyền thông;</w:t>
      </w:r>
    </w:p>
    <w:p>
      <w:pPr>
        <w:bidi w:val="0"/>
        <w:spacing w:before="120" w:beforeAutospacing="0" w:after="280" w:afterAutospacing="1"/>
      </w:pPr>
      <w:r>
        <w:rPr>
          <w:i/>
          <w:iCs/>
          <w:rtl w:val="0"/>
        </w:rPr>
        <w:t xml:space="preserve">Căn cứ Nghị định số </w:t>
      </w:r>
      <w:bookmarkStart w:id="5" w:name="tvpllink_uytubflceg"/>
      <w:r>
        <w:rPr>
          <w:i/>
          <w:iCs/>
          <w:rtl w:val="0"/>
        </w:rPr>
        <w:t>195/2013/NĐ-CP</w:t>
      </w:r>
      <w:bookmarkEnd w:id="5"/>
      <w:r>
        <w:rPr>
          <w:i/>
          <w:iCs/>
          <w:rtl w:val="0"/>
        </w:rPr>
        <w:t xml:space="preserve"> ngày 21 tháng 11 năm 2013 của Chính phủ quy định chi tiết một số điều và biện pháp thi hành </w:t>
      </w:r>
      <w:bookmarkStart w:id="6" w:name="tvpllink_knljrggmct_3"/>
      <w:r>
        <w:rPr>
          <w:i/>
          <w:iCs/>
          <w:rtl w:val="0"/>
        </w:rPr>
        <w:t>Luật Xuất bản</w:t>
      </w:r>
      <w:bookmarkEnd w:id="6"/>
      <w:r>
        <w:rPr>
          <w:i/>
          <w:iCs/>
          <w:rtl w:val="0"/>
        </w:rPr>
        <w:t>;</w:t>
      </w:r>
    </w:p>
    <w:p>
      <w:pPr>
        <w:bidi w:val="0"/>
        <w:spacing w:before="120" w:beforeAutospacing="0" w:after="280" w:afterAutospacing="1"/>
      </w:pPr>
      <w:r>
        <w:rPr>
          <w:i/>
          <w:iCs/>
          <w:rtl w:val="0"/>
        </w:rPr>
        <w:t xml:space="preserve">Căn cứ Nghị định số </w:t>
      </w:r>
      <w:bookmarkStart w:id="7" w:name="tvpllink_csewxueqph"/>
      <w:r>
        <w:rPr>
          <w:i/>
          <w:iCs/>
          <w:rtl w:val="0"/>
        </w:rPr>
        <w:t>69/2018/NĐ-CP</w:t>
      </w:r>
      <w:bookmarkEnd w:id="7"/>
      <w:r>
        <w:rPr>
          <w:i/>
          <w:iCs/>
          <w:rtl w:val="0"/>
        </w:rPr>
        <w:t xml:space="preserve"> ngày 15 tháng 5 năm 2018 của Chính phủ quy định chi tiết một số điều của </w:t>
      </w:r>
      <w:bookmarkStart w:id="8" w:name="tvpllink_pugiufdkvo_1"/>
      <w:r>
        <w:rPr>
          <w:i/>
          <w:iCs/>
          <w:rtl w:val="0"/>
        </w:rPr>
        <w:t>Luật Quản lý ngoại thương</w:t>
      </w:r>
      <w:bookmarkEnd w:id="8"/>
      <w:r>
        <w:rPr>
          <w:i/>
          <w:iCs/>
          <w:rtl w:val="0"/>
        </w:rPr>
        <w:t>;</w:t>
      </w:r>
    </w:p>
    <w:p>
      <w:pPr>
        <w:bidi w:val="0"/>
        <w:spacing w:before="120" w:beforeAutospacing="0" w:after="280" w:afterAutospacing="1"/>
      </w:pPr>
      <w:r>
        <w:rPr>
          <w:i/>
          <w:iCs/>
          <w:rtl w:val="0"/>
        </w:rPr>
        <w:t xml:space="preserve">Căn cứ Nghị định số </w:t>
      </w:r>
      <w:bookmarkStart w:id="9" w:name="tvpllink_szcjgbcmcr"/>
      <w:r>
        <w:rPr>
          <w:i/>
          <w:iCs/>
          <w:rtl w:val="0"/>
        </w:rPr>
        <w:t>60/2014/NĐ-CP</w:t>
      </w:r>
      <w:bookmarkEnd w:id="9"/>
      <w:r>
        <w:rPr>
          <w:i/>
          <w:iCs/>
          <w:rtl w:val="0"/>
        </w:rPr>
        <w:t xml:space="preserve"> ngày 19 tháng 6 năm 2014 của Chính phủ quy định về hoạt động in;</w:t>
      </w:r>
    </w:p>
    <w:p>
      <w:pPr>
        <w:bidi w:val="0"/>
        <w:spacing w:before="120" w:beforeAutospacing="0" w:after="280" w:afterAutospacing="1"/>
      </w:pPr>
      <w:r>
        <w:rPr>
          <w:i/>
          <w:iCs/>
          <w:rtl w:val="0"/>
        </w:rPr>
        <w:t xml:space="preserve">Căn cứ Nghị định số </w:t>
      </w:r>
      <w:bookmarkStart w:id="10" w:name="tvpllink_xhwyansvpw"/>
      <w:r>
        <w:rPr>
          <w:i/>
          <w:iCs/>
          <w:rtl w:val="0"/>
        </w:rPr>
        <w:t>25/2018/NĐ-CP</w:t>
      </w:r>
      <w:bookmarkEnd w:id="10"/>
      <w:r>
        <w:rPr>
          <w:i/>
          <w:iCs/>
          <w:rtl w:val="0"/>
        </w:rPr>
        <w:t xml:space="preserve"> ngày 28 tháng 02 năm 2018 của Chính phủ sửa đổi, bổ sung một số điều của Nghị định số </w:t>
      </w:r>
      <w:bookmarkStart w:id="11" w:name="tvpllink_szcjgbcmcr_1"/>
      <w:r>
        <w:rPr>
          <w:i/>
          <w:iCs/>
          <w:rtl w:val="0"/>
        </w:rPr>
        <w:t>60/2014/NĐ-CP</w:t>
      </w:r>
      <w:bookmarkEnd w:id="11"/>
      <w:r>
        <w:rPr>
          <w:i/>
          <w:iCs/>
          <w:rtl w:val="0"/>
        </w:rPr>
        <w:t xml:space="preserve"> ngày 19 tháng 6 năm 2014 của Chính phủ quy định về hoạt động in;</w:t>
      </w:r>
    </w:p>
    <w:p>
      <w:pPr>
        <w:bidi w:val="0"/>
        <w:spacing w:before="120" w:beforeAutospacing="0" w:after="280" w:afterAutospacing="1"/>
      </w:pPr>
      <w:r>
        <w:rPr>
          <w:i/>
          <w:iCs/>
          <w:rtl w:val="0"/>
        </w:rPr>
        <w:t>Theo đề nghị của Cục trưởng Cục Xuất bản, in và Phát hành,</w:t>
      </w:r>
    </w:p>
    <w:p>
      <w:pPr>
        <w:bidi w:val="0"/>
        <w:spacing w:before="120" w:beforeAutospacing="0" w:after="280" w:afterAutospacing="1"/>
      </w:pPr>
      <w:r>
        <w:rPr>
          <w:i/>
          <w:iCs/>
          <w:rtl w:val="0"/>
        </w:rPr>
        <w:t>Bộ trưởng Bộ Thông tin và Truyền thông ban hành Thông tư ban hành Danh mục hàng hóa nhập khẩu, xuất khẩu trong lĩnh vực in, phát hành xuất bản phẩm.</w:t>
      </w:r>
    </w:p>
    <w:p>
      <w:pPr>
        <w:bidi w:val="0"/>
        <w:spacing w:before="120" w:beforeAutospacing="0" w:after="280" w:afterAutospacing="1"/>
      </w:pPr>
      <w:bookmarkStart w:id="12" w:name="dieu_1"/>
      <w:r>
        <w:rPr>
          <w:b/>
          <w:bCs/>
          <w:rtl w:val="0"/>
        </w:rPr>
        <w:t>Điều 1. Danh mục hàng hóa nhập khẩu, xuất khẩu trong lĩnh vực in, phát hành xuất bản phẩm</w:t>
      </w:r>
      <w:bookmarkEnd w:id="12"/>
    </w:p>
    <w:p>
      <w:pPr>
        <w:bidi w:val="0"/>
        <w:spacing w:before="120" w:beforeAutospacing="0" w:after="280" w:afterAutospacing="1"/>
      </w:pPr>
      <w:bookmarkStart w:id="13" w:name="cumtu_1"/>
      <w:r>
        <w:rPr>
          <w:rtl w:val="0"/>
        </w:rPr>
        <w:t>Ban hành kèm theo Thông tư này Danh mục hàng hóa nhập khẩu, xuất khẩu trong lĩnh vực in, phát hành xuất bản phẩm, bao gồm:</w:t>
      </w:r>
      <w:bookmarkEnd w:id="13"/>
    </w:p>
    <w:p>
      <w:pPr>
        <w:bidi w:val="0"/>
        <w:spacing w:before="120" w:beforeAutospacing="0" w:after="280" w:afterAutospacing="1"/>
      </w:pPr>
      <w:bookmarkStart w:id="14" w:name="khoan_1_1"/>
      <w:r>
        <w:rPr>
          <w:rtl w:val="0"/>
        </w:rPr>
        <w:t>1. Phụ lục 01: Danh mục hàng hóa theo mã số HS và hình thức quản lý đối với hàng hóa nhập khẩu, xuất khẩu trong lĩnh vực in.</w:t>
      </w:r>
      <w:bookmarkEnd w:id="14"/>
    </w:p>
    <w:p>
      <w:pPr>
        <w:bidi w:val="0"/>
        <w:spacing w:before="120" w:beforeAutospacing="0" w:after="280" w:afterAutospacing="1"/>
      </w:pPr>
      <w:bookmarkStart w:id="15" w:name="khoan_2_1"/>
      <w:r>
        <w:rPr>
          <w:rtl w:val="0"/>
        </w:rPr>
        <w:t>2. Phụ lục 02: Danh mục hàng hóa theo mã số HS và hình thức quản lý đối với hàng hóa nhập khẩu, xuất khẩu trong lĩnh vực phát hành xuất bản phẩm.</w:t>
      </w:r>
      <w:bookmarkEnd w:id="15"/>
    </w:p>
    <w:p>
      <w:pPr>
        <w:bidi w:val="0"/>
        <w:spacing w:before="120" w:beforeAutospacing="0" w:after="280" w:afterAutospacing="1"/>
      </w:pPr>
      <w:bookmarkStart w:id="16" w:name="dieu_2"/>
      <w:r>
        <w:rPr>
          <w:b/>
          <w:bCs/>
          <w:rtl w:val="0"/>
        </w:rPr>
        <w:t>Điều 2. Điều khoản thi hành</w:t>
      </w:r>
      <w:bookmarkEnd w:id="16"/>
    </w:p>
    <w:p>
      <w:pPr>
        <w:bidi w:val="0"/>
        <w:spacing w:before="120" w:beforeAutospacing="0" w:after="280" w:afterAutospacing="1"/>
      </w:pPr>
      <w:r>
        <w:rPr>
          <w:rtl w:val="0"/>
        </w:rPr>
        <w:t>1. Thông tư này có hiệu lực thi hành kể từ ngày 12 tháng 02 năm 2019 và thay thế các Thông tư sau đây:</w:t>
      </w:r>
    </w:p>
    <w:p>
      <w:pPr>
        <w:bidi w:val="0"/>
        <w:spacing w:before="120" w:beforeAutospacing="0" w:after="280" w:afterAutospacing="1"/>
      </w:pPr>
      <w:r>
        <w:rPr>
          <w:rtl w:val="0"/>
        </w:rPr>
        <w:t xml:space="preserve">a) Thông tư số </w:t>
      </w:r>
      <w:bookmarkStart w:id="17" w:name="tvpllink_jsqgnvjxyx"/>
      <w:r>
        <w:rPr>
          <w:rtl w:val="0"/>
        </w:rPr>
        <w:t>16/2015/TT-BTTTT</w:t>
      </w:r>
      <w:bookmarkEnd w:id="17"/>
      <w:r>
        <w:rPr>
          <w:rtl w:val="0"/>
        </w:rPr>
        <w:t xml:space="preserve"> ngày 17 tháng 6 năm 2015 của Bộ trưởng Bộ Thông tin và Truyền thông quy định chi tiết thi hành Nghị định số </w:t>
      </w:r>
      <w:bookmarkStart w:id="18" w:name="tvpllink_kqjaydkvxg"/>
      <w:r>
        <w:rPr>
          <w:rtl w:val="0"/>
        </w:rPr>
        <w:t>187/2013/NĐ-CP</w:t>
      </w:r>
      <w:bookmarkEnd w:id="18"/>
      <w:r>
        <w:rPr>
          <w:rtl w:val="0"/>
        </w:rPr>
        <w:t xml:space="preserve"> ngày 20 tháng 11 năm 2013 của Chính phủ về xuất khẩu, nhập khẩu hàng hóa trong lĩnh vực in, phát hành xuất bản phẩm;</w:t>
      </w:r>
    </w:p>
    <w:p>
      <w:pPr>
        <w:bidi w:val="0"/>
        <w:spacing w:before="120" w:beforeAutospacing="0" w:after="280" w:afterAutospacing="1"/>
      </w:pPr>
      <w:r>
        <w:rPr>
          <w:rtl w:val="0"/>
        </w:rPr>
        <w:t xml:space="preserve">b) Thông tư số </w:t>
      </w:r>
      <w:bookmarkStart w:id="19" w:name="tvpllink_sabcqjiqkw"/>
      <w:r>
        <w:rPr>
          <w:rtl w:val="0"/>
        </w:rPr>
        <w:t>41/2016/TT-BTTTT</w:t>
      </w:r>
      <w:bookmarkEnd w:id="19"/>
      <w:r>
        <w:rPr>
          <w:rtl w:val="0"/>
        </w:rPr>
        <w:t xml:space="preserve"> ngày 26 tháng 12 năm 2016 của Bộ trưởng Bộ Thông tin và Truyền thông sửa đổi, bổ sung một số điều của Thông tư số </w:t>
      </w:r>
      <w:bookmarkStart w:id="20" w:name="tvpllink_jsqgnvjxyx_1"/>
      <w:r>
        <w:rPr>
          <w:rtl w:val="0"/>
        </w:rPr>
        <w:t>16/2015/TT-BTTTT</w:t>
      </w:r>
      <w:bookmarkEnd w:id="20"/>
      <w:r>
        <w:rPr>
          <w:rtl w:val="0"/>
        </w:rPr>
        <w:t xml:space="preserve"> ngày 17 tháng 6 năm 2015 của Bộ trưởng Bộ Thông tin và Truyền thông quy định chi tiết thi hành Nghị định số </w:t>
      </w:r>
      <w:bookmarkStart w:id="21" w:name="tvpllink_kqjaydkvxg_1"/>
      <w:r>
        <w:rPr>
          <w:rtl w:val="0"/>
        </w:rPr>
        <w:t>187/2013/NĐ-CP</w:t>
      </w:r>
      <w:bookmarkEnd w:id="21"/>
      <w:r>
        <w:rPr>
          <w:rtl w:val="0"/>
        </w:rPr>
        <w:t xml:space="preserve"> ngày 20 tháng 11 năm 2013 của Chính phủ về xuất khẩu, nhập khẩu hàng hóa trong lĩnh vực in, phát hành xuất bản phẩm.</w:t>
      </w:r>
    </w:p>
    <w:p>
      <w:pPr>
        <w:bidi w:val="0"/>
        <w:spacing w:before="120" w:beforeAutospacing="0" w:after="280" w:afterAutospacing="1"/>
      </w:pPr>
      <w:r>
        <w:rPr>
          <w:rtl w:val="0"/>
        </w:rPr>
        <w:t>2. Chánh Văn phòng, Cục trưởng Cục Xuất bản, In và Phát hành, Thủ trưởng các cơ quan, đơn vị thuộc Bộ Thông tin và Truyền thông; cơ quan, tổ chức, cá nhân tham gia hoặc có liên quan đến nhập khẩu, xuất khẩu hàng hóa trong lĩnh vực in, phát hành xuất bản phẩm có trách nhiệm thi hành Thông tư này.</w:t>
      </w:r>
    </w:p>
    <w:p>
      <w:pPr>
        <w:bidi w:val="0"/>
        <w:spacing w:before="120" w:beforeAutospacing="0" w:after="280" w:afterAutospacing="1"/>
      </w:pPr>
      <w:r>
        <w:rPr>
          <w:rtl w:val="0"/>
        </w:rPr>
        <w:t>3. Trong quá trình thực hiện Thông tư, nếu có vướng mắc, đề nghị phản ánh kịp thời về Bộ Thông tin và Truyền thông (qua Cục Xuất bản, In và Phát hành) để hướng dẫn và xem xét, giải quyết./.</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477"/>
        <w:gridCol w:w="4163"/>
      </w:tblGrid>
      <w:tr>
        <w:tblPrEx>
          <w:tblW w:w="5000" w:type="pct"/>
          <w:jc w:val="left"/>
          <w:tblCellMar>
            <w:top w:w="0" w:type="dxa"/>
            <w:left w:w="0" w:type="dxa"/>
            <w:bottom w:w="0" w:type="dxa"/>
            <w:right w:w="0" w:type="dxa"/>
          </w:tblCellMar>
        </w:tblPrEx>
        <w:trPr>
          <w:jc w:val="left"/>
        </w:trPr>
        <w:tc>
          <w:tcPr>
            <w:tcW w:w="2591" w:type="pct"/>
            <w:shd w:val="clear" w:color="auto" w:fill="auto"/>
            <w:tcMar>
              <w:top w:w="0" w:type="dxa"/>
              <w:left w:w="0" w:type="dxa"/>
              <w:bottom w:w="0" w:type="dxa"/>
              <w:right w:w="0"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Thủ tướng và các Phó Thủ tướng Chính phủ (để b/c);</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Quốc hội;</w:t>
            </w:r>
            <w:r>
              <w:rPr>
                <w:sz w:val="16"/>
                <w:rtl w:val="0"/>
              </w:rPr>
              <w:br/>
            </w:r>
            <w:r>
              <w:rPr>
                <w:sz w:val="16"/>
                <w:rtl w:val="0"/>
              </w:rPr>
              <w:t>- Văn phòng Chủ tịch nước;</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TW;</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Cục kiểm tra VBQPPL, Bộ Tư pháp;</w:t>
            </w:r>
            <w:r>
              <w:rPr>
                <w:sz w:val="16"/>
                <w:rtl w:val="0"/>
              </w:rPr>
              <w:br/>
            </w:r>
            <w:r>
              <w:rPr>
                <w:sz w:val="16"/>
                <w:rtl w:val="0"/>
              </w:rPr>
              <w:t>- Sở TTTT các tỉnh, thành phố trực thuộc TW;</w:t>
            </w:r>
            <w:r>
              <w:rPr>
                <w:sz w:val="16"/>
                <w:rtl w:val="0"/>
              </w:rPr>
              <w:br/>
            </w:r>
            <w:r>
              <w:rPr>
                <w:sz w:val="16"/>
                <w:rtl w:val="0"/>
              </w:rPr>
              <w:t>- Công báo, Cổng Thông tin điện tử Chính phủ;</w:t>
            </w:r>
            <w:r>
              <w:rPr>
                <w:sz w:val="16"/>
                <w:rtl w:val="0"/>
              </w:rPr>
              <w:br/>
            </w:r>
            <w:r>
              <w:rPr>
                <w:sz w:val="16"/>
                <w:rtl w:val="0"/>
              </w:rPr>
              <w:t>- Bộ TTTT: Bộ trưởng, các Thứ trưởng, các cơ quan, đơn vị thuộc Bộ, Cổng Thông tin điện tử Bộ:</w:t>
            </w:r>
            <w:r>
              <w:rPr>
                <w:sz w:val="16"/>
                <w:rtl w:val="0"/>
              </w:rPr>
              <w:br/>
            </w:r>
            <w:r>
              <w:rPr>
                <w:sz w:val="16"/>
                <w:rtl w:val="0"/>
              </w:rPr>
              <w:t>- Lưu: VT, CXBIPH, HNB (300).</w:t>
            </w:r>
          </w:p>
        </w:tc>
        <w:tc>
          <w:tcPr>
            <w:tcW w:w="2409"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BỘ TRƯỞNG</w:t>
            </w:r>
            <w:r>
              <w:rPr>
                <w:b/>
                <w:bCs/>
                <w:rtl w:val="0"/>
              </w:rPr>
              <w:br/>
            </w:r>
            <w:r>
              <w:rPr>
                <w:b/>
                <w:bCs/>
                <w:rtl w:val="0"/>
              </w:rPr>
              <w:br/>
            </w:r>
            <w:r>
              <w:rPr>
                <w:b/>
                <w:bCs/>
                <w:rtl w:val="0"/>
              </w:rPr>
              <w:br/>
            </w:r>
            <w:r>
              <w:rPr>
                <w:b/>
                <w:bCs/>
                <w:rtl w:val="0"/>
              </w:rPr>
              <w:br/>
            </w:r>
            <w:r>
              <w:rPr>
                <w:b/>
                <w:bCs/>
                <w:rtl w:val="0"/>
              </w:rPr>
              <w:br/>
            </w:r>
            <w:r>
              <w:rPr>
                <w:b/>
                <w:bCs/>
                <w:rtl w:val="0"/>
              </w:rPr>
              <w:t>Nguyễn Mạnh Hùng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2" w:name="chuong_pl_1"/>
      <w:r>
        <w:rPr>
          <w:b/>
          <w:bCs/>
          <w:sz w:val="24"/>
          <w:rtl w:val="0"/>
        </w:rPr>
        <w:t>PHỤ LỤC 01</w:t>
      </w:r>
      <w:bookmarkEnd w:id="22"/>
    </w:p>
    <w:p>
      <w:pPr>
        <w:bidi w:val="0"/>
        <w:spacing w:before="120" w:beforeAutospacing="0" w:after="280" w:afterAutospacing="1"/>
        <w:jc w:val="center"/>
      </w:pPr>
      <w:bookmarkStart w:id="23" w:name="chuong_pl_1_name"/>
      <w:r>
        <w:rPr>
          <w:rtl w:val="0"/>
        </w:rPr>
        <w:t>DANH MỤC HÀNG HÓA THEO MÃ SỐ HS VÀ HÌNH THỨC QUẢN LÝ ĐỐI VỚI HÀNG HÓA NHẬP KHẨU, XUẤT KHẨU TRONG LĨNH VỰC IN</w:t>
      </w:r>
      <w:bookmarkEnd w:id="23"/>
      <w:r>
        <w:rPr>
          <w:rtl w:val="0"/>
        </w:rPr>
        <w:br/>
      </w:r>
      <w:r>
        <w:rPr>
          <w:i/>
          <w:iCs/>
          <w:rtl w:val="0"/>
        </w:rPr>
        <w:t>(Ban hành kèm theo Thông tư số 22/2018/TT-BTTTT ngày 28 tháng 12 năm 2018 của Bộ trưởng Bộ Thông tin và Truyền thông)</w:t>
      </w:r>
    </w:p>
    <w:p>
      <w:pPr>
        <w:bidi w:val="0"/>
        <w:spacing w:before="120" w:beforeAutospacing="0" w:after="280" w:afterAutospacing="1"/>
      </w:pPr>
      <w:bookmarkStart w:id="24" w:name="muc_1"/>
      <w:r>
        <w:rPr>
          <w:b/>
          <w:bCs/>
          <w:rtl w:val="0"/>
        </w:rPr>
        <w:t>I. Hàng hóa theo mã số HS và hình thức quản lý nhập khẩu</w:t>
      </w:r>
      <w:bookmarkEnd w:id="24"/>
    </w:p>
    <w:p>
      <w:pPr>
        <w:bidi w:val="0"/>
        <w:spacing w:before="120" w:beforeAutospacing="0" w:after="280" w:afterAutospacing="1"/>
      </w:pPr>
      <w:r>
        <w:rPr>
          <w:rtl w:val="0"/>
        </w:rPr>
        <w:t>1. Hàng hóa trong Danh mục dưới đây khi nhập khẩu phải có giấy phép của Bộ Thông tin và Truyền thông (chỉ áp dụng đối với hàng hóa có mã số HS 08 số):</w:t>
      </w:r>
    </w:p>
    <w:tbl>
      <w:tblPr>
        <w:tblW w:w="5000" w:type="pct"/>
        <w:jc w:val="left"/>
        <w:tblCellMar>
          <w:top w:w="0" w:type="dxa"/>
          <w:left w:w="0" w:type="dxa"/>
          <w:bottom w:w="0" w:type="dxa"/>
          <w:right w:w="0" w:type="dxa"/>
        </w:tblCellMar>
      </w:tblPr>
      <w:tblGrid>
        <w:gridCol w:w="1189"/>
        <w:gridCol w:w="3076"/>
        <w:gridCol w:w="4375"/>
      </w:tblGrid>
      <w:tr>
        <w:tblPrEx>
          <w:tblW w:w="5000" w:type="pct"/>
          <w:jc w:val="left"/>
          <w:tblCellMar>
            <w:top w:w="0" w:type="dxa"/>
            <w:left w:w="0" w:type="dxa"/>
            <w:bottom w:w="0" w:type="dxa"/>
            <w:right w:w="0" w:type="dxa"/>
          </w:tblCellMar>
        </w:tblPrEx>
        <w:trPr>
          <w:jc w:val="left"/>
        </w:trPr>
        <w:tc>
          <w:tcPr>
            <w:tcW w:w="5000" w:type="pct"/>
            <w:gridSpan w:val="3"/>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2468" w:type="pct"/>
            <w:gridSpan w:val="2"/>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 xml:space="preserve">Mô tả hàng hóa theo mã số HS trong Danh mục hàng hóa xuất khẩu, nhập khẩu Việt Nam quy định tại Thông tư số </w:t>
            </w:r>
            <w:bookmarkStart w:id="25" w:name="tvpllink_qtxodejolc"/>
            <w:r>
              <w:rPr>
                <w:b/>
                <w:bCs/>
                <w:rtl w:val="0"/>
              </w:rPr>
              <w:t>65/2017/TT-BTC</w:t>
            </w:r>
            <w:bookmarkEnd w:id="25"/>
            <w:r>
              <w:rPr>
                <w:b/>
                <w:bCs/>
                <w:rtl w:val="0"/>
              </w:rPr>
              <w:t xml:space="preserve"> ngày 27 tháng 6 năm 2017 của Bộ Tài chính</w:t>
            </w:r>
          </w:p>
        </w:tc>
        <w:tc>
          <w:tcPr>
            <w:tcW w:w="253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phân loại hàng hóa nhập khẩu theo chuyên ngành trong lĩnh vực in</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84.43</w:t>
            </w:r>
          </w:p>
        </w:tc>
        <w:tc>
          <w:tcPr>
            <w:tcW w:w="4312"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bottom"/>
          </w:tcPr>
          <w:p>
            <w:pPr>
              <w:bidi w:val="0"/>
              <w:spacing w:before="120" w:beforeAutospacing="0" w:after="0" w:afterAutospacing="0"/>
            </w:pPr>
            <w:r>
              <w:rPr>
                <w:b/>
                <w:bCs/>
                <w:rtl w:val="0"/>
              </w:rPr>
              <w:t>Máy in sử dụng các bộ phận in như khuôn in (bát chữ), trục lăn và các bộ phận in khác của nhóm 84.42; máy in khác, máy copy (copying machines) và máy fax, có hoặc không kết hợp với nhau; bộ phận và các phụ kiện của chúng.</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312"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 Máy in sử dụng các bộ phận in như khuôn in (bát chữ), trục lăn và các bộ phận in khác thuộc nhóm 84.42:</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8443.11.00</w:t>
            </w:r>
          </w:p>
        </w:tc>
        <w:tc>
          <w:tcPr>
            <w:tcW w:w="178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in offset, in cuộn</w:t>
            </w:r>
          </w:p>
        </w:tc>
        <w:tc>
          <w:tcPr>
            <w:tcW w:w="253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Máy in offset (kiểu in cuộn)</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8443.12.00</w:t>
            </w:r>
          </w:p>
        </w:tc>
        <w:tc>
          <w:tcPr>
            <w:tcW w:w="1780"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in offset, in theo tờ, loại sử dụng trong văn phòng (sử dụng giấy với kích thước giấy ở dạng không gấp một chiều không quá 22 cm và chiều kia không quá 36 cm)</w:t>
            </w:r>
          </w:p>
        </w:tc>
        <w:tc>
          <w:tcPr>
            <w:tcW w:w="2532"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in offset in theo tờ rời</w:t>
            </w:r>
          </w:p>
        </w:tc>
      </w:tr>
      <w:tr>
        <w:tblPrEx>
          <w:tblW w:w="5000" w:type="pct"/>
          <w:jc w:val="left"/>
          <w:tblCellMar>
            <w:top w:w="0" w:type="dxa"/>
            <w:left w:w="0" w:type="dxa"/>
            <w:bottom w:w="0" w:type="dxa"/>
            <w:right w:w="0" w:type="dxa"/>
          </w:tblCellMar>
        </w:tblPrEx>
        <w:trPr>
          <w:jc w:val="left"/>
        </w:trPr>
        <w:tc>
          <w:tcPr>
            <w:tcW w:w="688" w:type="pct"/>
            <w:tcBorders>
              <w:top w:val="nil"/>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8443.13.00</w:t>
            </w:r>
          </w:p>
        </w:tc>
        <w:tc>
          <w:tcPr>
            <w:tcW w:w="1780" w:type="pct"/>
            <w:tcBorders>
              <w:top w:val="nil"/>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in offset khác</w:t>
            </w:r>
          </w:p>
        </w:tc>
        <w:tc>
          <w:tcPr>
            <w:tcW w:w="2532" w:type="pct"/>
            <w:tcBorders>
              <w:top w:val="nil"/>
              <w:left w:val="single" w:sz="8" w:space="0" w:color="auto"/>
              <w:bottom w:val="nil"/>
              <w:right w:val="single" w:sz="8" w:space="0" w:color="auto"/>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Máy in offset khác</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8443.14.00</w:t>
            </w:r>
          </w:p>
        </w:tc>
        <w:tc>
          <w:tcPr>
            <w:tcW w:w="178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in letterpress, in cuộn trừ loại máy in flexo</w:t>
            </w:r>
          </w:p>
        </w:tc>
        <w:tc>
          <w:tcPr>
            <w:tcW w:w="253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in letterpress (kiểu in cuộn)</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8443.15.00</w:t>
            </w:r>
          </w:p>
        </w:tc>
        <w:tc>
          <w:tcPr>
            <w:tcW w:w="178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in letterpress, trừ loại in cuộn, trừ loại máy in flexo</w:t>
            </w:r>
          </w:p>
        </w:tc>
        <w:tc>
          <w:tcPr>
            <w:tcW w:w="253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in letterpress (kiểu in tờ rời)</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8443.16.00</w:t>
            </w:r>
          </w:p>
        </w:tc>
        <w:tc>
          <w:tcPr>
            <w:tcW w:w="178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in flexo</w:t>
            </w:r>
          </w:p>
        </w:tc>
        <w:tc>
          <w:tcPr>
            <w:tcW w:w="253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Máy in flexo</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8443.17.00</w:t>
            </w:r>
          </w:p>
        </w:tc>
        <w:tc>
          <w:tcPr>
            <w:tcW w:w="178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in ống đồng</w:t>
            </w:r>
          </w:p>
        </w:tc>
        <w:tc>
          <w:tcPr>
            <w:tcW w:w="253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Máy in ống đồng</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312"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Máy in khác, máy copy và máy fax, có hoặc không kết hợp với nhau:</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w:t>
            </w:r>
          </w:p>
        </w:tc>
        <w:tc>
          <w:tcPr>
            <w:tcW w:w="4312"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kết hợp hai hoặc nhiều chức năng in, copy hoặc fax, có khả năng kết nối với máy xử lý dữ liệu tự động hoặc kết nối mạng:</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312"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in-copy, in bằng công nghệ in phun:</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8443.31.11</w:t>
            </w:r>
          </w:p>
        </w:tc>
        <w:tc>
          <w:tcPr>
            <w:tcW w:w="178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màu</w:t>
            </w:r>
          </w:p>
        </w:tc>
        <w:tc>
          <w:tcPr>
            <w:tcW w:w="2532" w:type="pct"/>
            <w:tcBorders>
              <w:top w:val="single" w:sz="8" w:space="0" w:color="auto"/>
              <w:left w:val="nil"/>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in có chức năng photocopy màu (loại đa màu)</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312"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in-copy, in bằng công nghệ laser:</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8443.31.21</w:t>
            </w:r>
          </w:p>
        </w:tc>
        <w:tc>
          <w:tcPr>
            <w:tcW w:w="178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màu</w:t>
            </w:r>
          </w:p>
        </w:tc>
        <w:tc>
          <w:tcPr>
            <w:tcW w:w="253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in có chức năng photocopy màu (loại đa màu)</w:t>
            </w:r>
          </w:p>
        </w:tc>
      </w:tr>
      <w:tr>
        <w:tblPrEx>
          <w:tblW w:w="5000" w:type="pct"/>
          <w:jc w:val="left"/>
          <w:tblCellMar>
            <w:top w:w="0" w:type="dxa"/>
            <w:left w:w="0" w:type="dxa"/>
            <w:bottom w:w="0" w:type="dxa"/>
            <w:right w:w="0" w:type="dxa"/>
          </w:tblCellMar>
        </w:tblPrEx>
        <w:trPr>
          <w:jc w:val="left"/>
        </w:trPr>
        <w:tc>
          <w:tcPr>
            <w:tcW w:w="688" w:type="pct"/>
            <w:tcBorders>
              <w:top w:val="nil"/>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312"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in-copy-fax kết hợp:</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8443.31.31</w:t>
            </w:r>
          </w:p>
        </w:tc>
        <w:tc>
          <w:tcPr>
            <w:tcW w:w="178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màu</w:t>
            </w:r>
          </w:p>
        </w:tc>
        <w:tc>
          <w:tcPr>
            <w:tcW w:w="253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in có chức năng photocopy màu (loại đa màu)</w:t>
            </w:r>
          </w:p>
        </w:tc>
      </w:tr>
      <w:tr>
        <w:tblPrEx>
          <w:tblW w:w="5000" w:type="pct"/>
          <w:jc w:val="left"/>
          <w:tblCellMar>
            <w:top w:w="0" w:type="dxa"/>
            <w:left w:w="0" w:type="dxa"/>
            <w:bottom w:w="0" w:type="dxa"/>
            <w:right w:w="0" w:type="dxa"/>
          </w:tblCellMar>
        </w:tblPrEx>
        <w:trPr>
          <w:jc w:val="left"/>
        </w:trPr>
        <w:tc>
          <w:tcPr>
            <w:tcW w:w="68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78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253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88" w:type="pct"/>
            <w:tcBorders>
              <w:top w:val="nil"/>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8443.31.91</w:t>
            </w:r>
          </w:p>
        </w:tc>
        <w:tc>
          <w:tcPr>
            <w:tcW w:w="178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Máy in-copy-scan-fax kết hợp</w:t>
            </w:r>
          </w:p>
        </w:tc>
        <w:tc>
          <w:tcPr>
            <w:tcW w:w="253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Chỉ cấp giấy phép nhập khẩu đối với máy in có chức năng photocopy màu (loại đa màu)</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8443.31.99</w:t>
            </w:r>
          </w:p>
        </w:tc>
        <w:tc>
          <w:tcPr>
            <w:tcW w:w="178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253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Chỉ cấp giấy phép nhập khẩu đối với máy in có chức năng photocopy màu (loại đa màu)</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8443.32</w:t>
            </w:r>
          </w:p>
        </w:tc>
        <w:tc>
          <w:tcPr>
            <w:tcW w:w="4312" w:type="pct"/>
            <w:gridSpan w:val="2"/>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 có khả năng kết nối với máy xử lý dữ liệu tự động hoặc kết nối mạng:</w:t>
            </w:r>
          </w:p>
        </w:tc>
      </w:tr>
      <w:tr>
        <w:tblPrEx>
          <w:tblW w:w="5000" w:type="pct"/>
          <w:jc w:val="left"/>
          <w:tblCellMar>
            <w:top w:w="0" w:type="dxa"/>
            <w:left w:w="0" w:type="dxa"/>
            <w:bottom w:w="0" w:type="dxa"/>
            <w:right w:w="0" w:type="dxa"/>
          </w:tblCellMar>
        </w:tblPrEx>
        <w:trPr>
          <w:jc w:val="left"/>
        </w:trPr>
        <w:tc>
          <w:tcPr>
            <w:tcW w:w="688" w:type="pct"/>
            <w:tcBorders>
              <w:top w:val="nil"/>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312" w:type="pct"/>
            <w:gridSpan w:val="2"/>
            <w:tcBorders>
              <w:top w:val="nil"/>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in phun:</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8443.32.21</w:t>
            </w:r>
          </w:p>
        </w:tc>
        <w:tc>
          <w:tcPr>
            <w:tcW w:w="178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màu</w:t>
            </w:r>
          </w:p>
        </w:tc>
        <w:tc>
          <w:tcPr>
            <w:tcW w:w="253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Chỉ cấp giấy phép nhập khẩu đối với máy in phun kỹ thuật số có tốc độ in trên 60 tờ/phút (khô A4) hoặc có khổ in trên A3</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4312"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in laser:</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8443.32.31</w:t>
            </w:r>
          </w:p>
        </w:tc>
        <w:tc>
          <w:tcPr>
            <w:tcW w:w="178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màu</w:t>
            </w:r>
          </w:p>
        </w:tc>
        <w:tc>
          <w:tcPr>
            <w:tcW w:w="253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Chỉ cấp giấy phép nhập khẩu đối với máy in laser kỹ thuật số có tốc độ in trên 60 tờ/phút (khổ A4) hoặc có khổ in trên A3</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8443.39</w:t>
            </w:r>
          </w:p>
        </w:tc>
        <w:tc>
          <w:tcPr>
            <w:tcW w:w="4312"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8443.39.10</w:t>
            </w:r>
          </w:p>
        </w:tc>
        <w:tc>
          <w:tcPr>
            <w:tcW w:w="178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photocopy tĩnh điện, hoạt động bằng cách tái tạo hình ảnh gốc trực tiếp lên bản sao (quá trình tái tạo trực tiếp)</w:t>
            </w:r>
          </w:p>
        </w:tc>
        <w:tc>
          <w:tcPr>
            <w:tcW w:w="2532" w:type="pct"/>
            <w:vMerge w:val="restar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Chỉ cấp giấy phép nhập khẩu đối với máy photocopy màu (loại đa màu), trừ loại đơn màu (đen trắng)</w:t>
            </w: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8443.39.20</w:t>
            </w:r>
          </w:p>
        </w:tc>
        <w:tc>
          <w:tcPr>
            <w:tcW w:w="178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photocopy tĩnh điện, hoạt động bằng cách tái tạo hình ảnh gốc lên bản sao thông qua bước trung gian (quá trình tái tạo gián tiếp)</w:t>
            </w: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8443.39.30</w:t>
            </w:r>
          </w:p>
        </w:tc>
        <w:tc>
          <w:tcPr>
            <w:tcW w:w="178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photocopy khác kết hợp hệ thống quang học</w:t>
            </w: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88"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8443.39.40</w:t>
            </w:r>
          </w:p>
        </w:tc>
        <w:tc>
          <w:tcPr>
            <w:tcW w:w="1780"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in phun</w:t>
            </w:r>
          </w:p>
        </w:tc>
        <w:tc>
          <w:tcPr>
            <w:tcW w:w="2532"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Chỉ cấp giấy phép nhập khẩu máy in phun màu kỹ thuật số (loại đa màu) có tốc độ in trên 60 tờ/phút khổ A4 hoặc có khổ in trên A3</w:t>
            </w:r>
          </w:p>
        </w:tc>
      </w:tr>
    </w:tbl>
    <w:p>
      <w:pPr>
        <w:bidi w:val="0"/>
        <w:spacing w:before="120" w:beforeAutospacing="0" w:after="280" w:afterAutospacing="1"/>
      </w:pPr>
      <w:r>
        <w:rPr>
          <w:rtl w:val="0"/>
        </w:rPr>
        <w:t xml:space="preserve">2. Trình tự, thủ tục, hồ sơ cấp giấy phép nhập khẩu đối với hàng hóa trong Danh mục tại Mục I.1 thực hiện theo quy định tại </w:t>
      </w:r>
      <w:bookmarkStart w:id="26" w:name="dc_1"/>
      <w:r>
        <w:rPr>
          <w:rtl w:val="0"/>
        </w:rPr>
        <w:t>Điều 27, Điều 28 Nghị định số 60/2014/NĐ-CP</w:t>
      </w:r>
      <w:bookmarkEnd w:id="26"/>
      <w:r>
        <w:rPr>
          <w:rtl w:val="0"/>
        </w:rPr>
        <w:t xml:space="preserve"> ngày 19 tháng 6 năm 2014 của Chính phủ quy định về hoạt động in (được sửa đổi, bổ sung một số điều bằng Nghị định số </w:t>
      </w:r>
      <w:bookmarkStart w:id="27" w:name="tvpllink_xhwyansvpw_1"/>
      <w:r>
        <w:rPr>
          <w:rtl w:val="0"/>
        </w:rPr>
        <w:t>25/2018/NĐ-CP</w:t>
      </w:r>
      <w:bookmarkEnd w:id="27"/>
      <w:r>
        <w:rPr>
          <w:rtl w:val="0"/>
        </w:rPr>
        <w:t xml:space="preserve"> ngày 28 tháng 02 năm 2018 của Chính phủ).</w:t>
      </w:r>
    </w:p>
    <w:p>
      <w:pPr>
        <w:bidi w:val="0"/>
        <w:spacing w:before="120" w:beforeAutospacing="0" w:after="280" w:afterAutospacing="1"/>
      </w:pPr>
      <w:r>
        <w:rPr>
          <w:rtl w:val="0"/>
        </w:rPr>
        <w:t xml:space="preserve">3. Hàng hóa trong lĩnh vực in có mã số HS thuộc các nhóm: 84.40, 84.41, 84.42 và hàng hóa của nhóm 84.43 quy định tại Thông tư số </w:t>
      </w:r>
      <w:bookmarkStart w:id="28" w:name="tvpllink_qtxodejolc_1"/>
      <w:r>
        <w:rPr>
          <w:rtl w:val="0"/>
        </w:rPr>
        <w:t>65/2017/TT-BTC</w:t>
      </w:r>
      <w:bookmarkEnd w:id="28"/>
      <w:r>
        <w:rPr>
          <w:rtl w:val="0"/>
        </w:rPr>
        <w:t xml:space="preserve"> ngày 27 tháng 6 năm 2017 của Bộ Tài chính nhưng không được liệt kê trong Danh mục tại Mục I.1 khi nhập khẩu không phải có giấy phép nhập khẩu của Bộ Thông tin và Truyền thông.</w:t>
      </w:r>
    </w:p>
    <w:p>
      <w:pPr>
        <w:bidi w:val="0"/>
        <w:spacing w:before="120" w:beforeAutospacing="0" w:after="280" w:afterAutospacing="1"/>
      </w:pPr>
      <w:bookmarkStart w:id="29" w:name="muc_2"/>
      <w:r>
        <w:rPr>
          <w:b/>
          <w:bCs/>
          <w:rtl w:val="0"/>
        </w:rPr>
        <w:t>II. Hàng hóa xuất khẩu</w:t>
      </w:r>
      <w:bookmarkEnd w:id="29"/>
    </w:p>
    <w:p>
      <w:pPr>
        <w:bidi w:val="0"/>
        <w:spacing w:before="120" w:beforeAutospacing="0" w:after="280" w:afterAutospacing="1"/>
      </w:pPr>
      <w:r>
        <w:rPr>
          <w:rtl w:val="0"/>
        </w:rPr>
        <w:t>Hàng hóa trong Danh mục tại Mục I.1 khi xuất khẩu không phải có giấy phép xuất khẩu của Bộ Thông tin và Truyền thông./.</w:t>
      </w:r>
    </w:p>
    <w:p>
      <w:pPr>
        <w:bidi w:val="0"/>
        <w:spacing w:before="120" w:beforeAutospacing="0" w:after="280" w:afterAutospacing="1"/>
      </w:pPr>
      <w:r>
        <w:rPr>
          <w:rtl w:val="0"/>
        </w:rPr>
        <w:t> </w:t>
      </w:r>
    </w:p>
    <w:p>
      <w:pPr>
        <w:bidi w:val="0"/>
        <w:spacing w:before="120" w:beforeAutospacing="0" w:after="280" w:afterAutospacing="1"/>
        <w:jc w:val="center"/>
      </w:pPr>
      <w:bookmarkStart w:id="30" w:name="chuong_pl_2"/>
      <w:r>
        <w:rPr>
          <w:b/>
          <w:bCs/>
          <w:sz w:val="24"/>
          <w:rtl w:val="0"/>
        </w:rPr>
        <w:t>PHỤ LỤC 02</w:t>
      </w:r>
      <w:bookmarkEnd w:id="30"/>
    </w:p>
    <w:p>
      <w:pPr>
        <w:bidi w:val="0"/>
        <w:spacing w:before="120" w:beforeAutospacing="0" w:after="280" w:afterAutospacing="1"/>
        <w:jc w:val="center"/>
      </w:pPr>
      <w:bookmarkStart w:id="31" w:name="chuong_pl_2_name"/>
      <w:r>
        <w:rPr>
          <w:rtl w:val="0"/>
        </w:rPr>
        <w:t>DANH MỤC HÀNG HÓA THEO MÃ SỐ HS VÀ HÌNH THỨC QUẢN LÝ ĐỐI VỚI HÀNG HÓA NHẬP KHẨU, XUẤT KHẨU TRONG LĨNH VỰC PHÁT HÀNH XUẤT BẢN PHẨM</w:t>
      </w:r>
      <w:bookmarkEnd w:id="31"/>
      <w:r>
        <w:rPr>
          <w:rtl w:val="0"/>
        </w:rPr>
        <w:br/>
      </w:r>
      <w:r>
        <w:rPr>
          <w:i/>
          <w:iCs/>
          <w:rtl w:val="0"/>
        </w:rPr>
        <w:t>(Ban hành kèm theo Thông tư số 22/2018/TT-BTTTT ngày 28 tháng 12 năm 2018 của Bộ trưởng Bộ Thông tin và Truyền thông)</w:t>
      </w:r>
    </w:p>
    <w:p>
      <w:pPr>
        <w:bidi w:val="0"/>
        <w:spacing w:before="120" w:beforeAutospacing="0" w:after="280" w:afterAutospacing="1"/>
      </w:pPr>
      <w:bookmarkStart w:id="32" w:name="muc_1_1"/>
      <w:r>
        <w:rPr>
          <w:b/>
          <w:bCs/>
          <w:rtl w:val="0"/>
        </w:rPr>
        <w:t>I. Hàng hóa theo mã số HS và hình thức quản lý nhập khẩu</w:t>
      </w:r>
      <w:bookmarkEnd w:id="32"/>
    </w:p>
    <w:p>
      <w:pPr>
        <w:bidi w:val="0"/>
        <w:spacing w:before="120" w:beforeAutospacing="0" w:after="280" w:afterAutospacing="1"/>
      </w:pPr>
      <w:r>
        <w:rPr>
          <w:rtl w:val="0"/>
        </w:rPr>
        <w:t>1. Danh mục hàng hóa theo mã số HS và hình thức quản lý nhập khẩu:</w:t>
      </w:r>
    </w:p>
    <w:tbl>
      <w:tblPr>
        <w:tblW w:w="5000" w:type="pct"/>
        <w:jc w:val="left"/>
        <w:tblCellMar>
          <w:top w:w="0" w:type="dxa"/>
          <w:left w:w="0" w:type="dxa"/>
          <w:bottom w:w="0" w:type="dxa"/>
          <w:right w:w="0" w:type="dxa"/>
        </w:tblCellMar>
      </w:tblPr>
      <w:tblGrid>
        <w:gridCol w:w="1312"/>
        <w:gridCol w:w="2293"/>
        <w:gridCol w:w="2343"/>
        <w:gridCol w:w="1389"/>
        <w:gridCol w:w="1303"/>
      </w:tblGrid>
      <w:tr>
        <w:tblPrEx>
          <w:tblW w:w="5000" w:type="pct"/>
          <w:jc w:val="left"/>
          <w:tblCellMar>
            <w:top w:w="0" w:type="dxa"/>
            <w:left w:w="0" w:type="dxa"/>
            <w:bottom w:w="0" w:type="dxa"/>
            <w:right w:w="0" w:type="dxa"/>
          </w:tblCellMar>
        </w:tblPrEx>
        <w:trPr>
          <w:jc w:val="left"/>
        </w:trPr>
        <w:tc>
          <w:tcPr>
            <w:tcW w:w="3442" w:type="pct"/>
            <w:gridSpan w:val="3"/>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c>
          <w:tcPr>
            <w:tcW w:w="1558" w:type="pct"/>
            <w:gridSpan w:val="2"/>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Hình thức quản lý</w:t>
            </w:r>
          </w:p>
        </w:tc>
      </w:tr>
      <w:tr>
        <w:tblPrEx>
          <w:tblW w:w="5000" w:type="pct"/>
          <w:jc w:val="left"/>
          <w:tblCellMar>
            <w:top w:w="0" w:type="dxa"/>
            <w:left w:w="0" w:type="dxa"/>
            <w:bottom w:w="0" w:type="dxa"/>
            <w:right w:w="0" w:type="dxa"/>
          </w:tblCellMar>
        </w:tblPrEx>
        <w:trPr>
          <w:jc w:val="left"/>
        </w:trPr>
        <w:tc>
          <w:tcPr>
            <w:tcW w:w="2086" w:type="pct"/>
            <w:gridSpan w:val="2"/>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 xml:space="preserve">Mô tả hàng hóa theo mã số HS trong Danh mục hàng hóa xuất khẩu, nhập khẩu Việt Nam quy định tại </w:t>
            </w:r>
            <w:bookmarkStart w:id="33" w:name="cumtu_2"/>
            <w:r>
              <w:rPr>
                <w:b/>
                <w:bCs/>
                <w:rtl w:val="0"/>
              </w:rPr>
              <w:t>Thông tư số 65/2017/TT-BTC ngày 27 tháng 6 năm 2017 của Bộ Tài chính</w:t>
            </w:r>
            <w:bookmarkEnd w:id="33"/>
          </w:p>
        </w:tc>
        <w:tc>
          <w:tcPr>
            <w:tcW w:w="135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phân loại hàng hóa quản lý theo chuyên ngành trong lĩnh vực phát hành xuất bản phẩm</w:t>
            </w:r>
          </w:p>
        </w:tc>
        <w:tc>
          <w:tcPr>
            <w:tcW w:w="80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Xuất bản phẩm nhập khẩu để kinh doanh</w:t>
            </w:r>
          </w:p>
        </w:tc>
        <w:tc>
          <w:tcPr>
            <w:tcW w:w="75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Xuất bản phẩm nhập khẩu không kinh doanh</w:t>
            </w: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49.01</w:t>
            </w:r>
          </w:p>
        </w:tc>
        <w:tc>
          <w:tcPr>
            <w:tcW w:w="2683" w:type="pct"/>
            <w:gridSpan w:val="2"/>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Các loại sách in, sách gấp, sách mỏng và các ấn phẩm in tương tự, dạng tờ đơn hoặc không phải dạng tờ đơn.</w:t>
            </w:r>
          </w:p>
        </w:tc>
        <w:tc>
          <w:tcPr>
            <w:tcW w:w="80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Văn bản xác nhận đăng ký nhập khẩu</w:t>
            </w:r>
          </w:p>
        </w:tc>
        <w:tc>
          <w:tcPr>
            <w:tcW w:w="75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Giấy phép nhập khẩu</w:t>
            </w: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4901.10.00</w:t>
            </w:r>
          </w:p>
        </w:tc>
        <w:tc>
          <w:tcPr>
            <w:tcW w:w="1327"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Dạng tờ đơn, có hoặc không gấp</w:t>
            </w:r>
          </w:p>
        </w:tc>
        <w:tc>
          <w:tcPr>
            <w:tcW w:w="1356"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Dạng tờ đơn, có hoặc không gấp (không bao gồm thể loại khoa học, kỹ thuật, ví dụ: hướng dẫn sử dụng thiết bị, hàng hóa, sản phẩm)</w:t>
            </w:r>
          </w:p>
        </w:tc>
        <w:tc>
          <w:tcPr>
            <w:tcW w:w="804"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Văn bản xác nhận đăng ký nhập khẩu</w:t>
            </w:r>
          </w:p>
        </w:tc>
        <w:tc>
          <w:tcPr>
            <w:tcW w:w="754"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Giấy phép nhập khẩu</w:t>
            </w:r>
          </w:p>
        </w:tc>
      </w:tr>
      <w:tr>
        <w:tblPrEx>
          <w:tblW w:w="5000" w:type="pct"/>
          <w:jc w:val="left"/>
          <w:tblCellMar>
            <w:top w:w="0" w:type="dxa"/>
            <w:left w:w="0" w:type="dxa"/>
            <w:bottom w:w="0" w:type="dxa"/>
            <w:right w:w="0" w:type="dxa"/>
          </w:tblCellMar>
        </w:tblPrEx>
        <w:trPr>
          <w:jc w:val="left"/>
        </w:trPr>
        <w:tc>
          <w:tcPr>
            <w:tcW w:w="759" w:type="pct"/>
            <w:tcBorders>
              <w:top w:val="nil"/>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27" w:type="pct"/>
            <w:tcBorders>
              <w:top w:val="nil"/>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Loại khác:</w:t>
            </w:r>
          </w:p>
        </w:tc>
        <w:tc>
          <w:tcPr>
            <w:tcW w:w="1356" w:type="pct"/>
            <w:tcBorders>
              <w:top w:val="nil"/>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804" w:type="pct"/>
            <w:tcBorders>
              <w:top w:val="nil"/>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754" w:type="pct"/>
            <w:tcBorders>
              <w:top w:val="nil"/>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4901.91.00</w:t>
            </w:r>
          </w:p>
        </w:tc>
        <w:tc>
          <w:tcPr>
            <w:tcW w:w="13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Từ điển và bộ bách khoa toàn thư, và các phụ chương của chúng</w:t>
            </w:r>
          </w:p>
        </w:tc>
        <w:tc>
          <w:tcPr>
            <w:tcW w:w="135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804"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75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4901.99</w:t>
            </w:r>
          </w:p>
        </w:tc>
        <w:tc>
          <w:tcPr>
            <w:tcW w:w="13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135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804" w:type="pc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75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4901.99.10</w:t>
            </w:r>
          </w:p>
        </w:tc>
        <w:tc>
          <w:tcPr>
            <w:tcW w:w="13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Sách giáo dục, kỹ thuật, khoa học, lịch sử hoặc văn hóa xã hội</w:t>
            </w:r>
          </w:p>
        </w:tc>
        <w:tc>
          <w:tcPr>
            <w:tcW w:w="135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Sách chính trị, pháp luật, kinh tế, văn hóa, xã hội, giáo dục và đào tạo, khoa học, công nghệ, văn học, nghệ thuật, địa lý, quân sự, tôn giáo, lịch sử (kể cả sách dành cho thiếu nhi hoặc sách điện tử trong các thiết bị lưu trữ dữ liệu)</w:t>
            </w:r>
          </w:p>
        </w:tc>
        <w:tc>
          <w:tcPr>
            <w:tcW w:w="804" w:type="pct"/>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Văn bản xác nhận đăng ký nhập khẩu</w:t>
            </w:r>
          </w:p>
        </w:tc>
        <w:tc>
          <w:tcPr>
            <w:tcW w:w="754" w:type="pct"/>
            <w:vMerge w:val="restar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Giấy phép nhập khẩu</w:t>
            </w: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4901.99.90</w:t>
            </w:r>
          </w:p>
        </w:tc>
        <w:tc>
          <w:tcPr>
            <w:tcW w:w="13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135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Dạng tập có chữ nổi và loại khác (không bao gồm thể loại khoa học, kỹ thuật, ví dụ: hướng dẫn sử dụng thiết bị, hàng hóa, sản phẩm)</w:t>
            </w: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4903.00.00</w:t>
            </w:r>
          </w:p>
        </w:tc>
        <w:tc>
          <w:tcPr>
            <w:tcW w:w="2683" w:type="pct"/>
            <w:gridSpan w:val="2"/>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Sách tranh ảnh, sách vẽ hoặc sách tô màu cho trẻ em.</w:t>
            </w:r>
          </w:p>
        </w:tc>
        <w:tc>
          <w:tcPr>
            <w:tcW w:w="80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Văn bản xác nhận đăng ký nhập khẩu</w:t>
            </w:r>
          </w:p>
        </w:tc>
        <w:tc>
          <w:tcPr>
            <w:tcW w:w="75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Giấy phép nhập khẩu</w:t>
            </w: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49.05</w:t>
            </w:r>
          </w:p>
        </w:tc>
        <w:tc>
          <w:tcPr>
            <w:tcW w:w="2683" w:type="pct"/>
            <w:gridSpan w:val="2"/>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Bản đồ và biểu đồ thủy văn hoặc các loại biểu đồ tương tự, kể cả tập bản đồ, bản đồ treo tường, bản đồ địa hình và quả địa cầu, đã in.</w:t>
            </w:r>
          </w:p>
        </w:tc>
        <w:tc>
          <w:tcPr>
            <w:tcW w:w="80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5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4905.10.00</w:t>
            </w:r>
          </w:p>
        </w:tc>
        <w:tc>
          <w:tcPr>
            <w:tcW w:w="13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Quả địa cầu</w:t>
            </w:r>
          </w:p>
        </w:tc>
        <w:tc>
          <w:tcPr>
            <w:tcW w:w="135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Quả địa cầu (có in hình bản đồ hoặc kèm theo sách hoặc minh họa cho sách)</w:t>
            </w:r>
          </w:p>
        </w:tc>
        <w:tc>
          <w:tcPr>
            <w:tcW w:w="80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Văn bản xác nhận đăng ký nhập khẩu</w:t>
            </w:r>
          </w:p>
        </w:tc>
        <w:tc>
          <w:tcPr>
            <w:tcW w:w="75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Giấy phép nhập khẩu</w:t>
            </w: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Loại khác:</w:t>
            </w:r>
          </w:p>
        </w:tc>
        <w:tc>
          <w:tcPr>
            <w:tcW w:w="135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80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5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4905.91.00</w:t>
            </w:r>
          </w:p>
        </w:tc>
        <w:tc>
          <w:tcPr>
            <w:tcW w:w="13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Dạng quyển</w:t>
            </w:r>
          </w:p>
        </w:tc>
        <w:tc>
          <w:tcPr>
            <w:tcW w:w="135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Dạng quyển</w:t>
            </w:r>
          </w:p>
        </w:tc>
        <w:tc>
          <w:tcPr>
            <w:tcW w:w="80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54"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4905.99.00</w:t>
            </w:r>
          </w:p>
        </w:tc>
        <w:tc>
          <w:tcPr>
            <w:tcW w:w="1327"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1356"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Dạng tờ rời, tờ gấp</w:t>
            </w:r>
          </w:p>
        </w:tc>
        <w:tc>
          <w:tcPr>
            <w:tcW w:w="804"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54"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759" w:type="pct"/>
            <w:tcBorders>
              <w:top w:val="nil"/>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4910.00.00</w:t>
            </w:r>
          </w:p>
        </w:tc>
        <w:tc>
          <w:tcPr>
            <w:tcW w:w="2683" w:type="pct"/>
            <w:gridSpan w:val="2"/>
            <w:tcBorders>
              <w:top w:val="nil"/>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Các loại lịch in, kể cả bloc lịch.</w:t>
            </w:r>
          </w:p>
        </w:tc>
        <w:tc>
          <w:tcPr>
            <w:tcW w:w="804" w:type="pct"/>
            <w:tcBorders>
              <w:top w:val="nil"/>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Văn bản xác nhận đăng ký nhập khẩu</w:t>
            </w:r>
          </w:p>
        </w:tc>
        <w:tc>
          <w:tcPr>
            <w:tcW w:w="754" w:type="pct"/>
            <w:tcBorders>
              <w:top w:val="nil"/>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Giấy phép nhập khẩu</w:t>
            </w: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49.11</w:t>
            </w:r>
          </w:p>
        </w:tc>
        <w:tc>
          <w:tcPr>
            <w:tcW w:w="2683" w:type="pct"/>
            <w:gridSpan w:val="2"/>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b/>
                <w:bCs/>
                <w:rtl w:val="0"/>
              </w:rPr>
              <w:t>Các ấn phẩm in khác, kể cả tranh và ảnh in.</w:t>
            </w:r>
          </w:p>
        </w:tc>
        <w:tc>
          <w:tcPr>
            <w:tcW w:w="804" w:type="pct"/>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Văn bản xác nhận đăng ký nhập khẩu</w:t>
            </w:r>
          </w:p>
        </w:tc>
        <w:tc>
          <w:tcPr>
            <w:tcW w:w="754" w:type="pct"/>
            <w:vMerge w:val="restar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Giấy phép nhập khẩu</w:t>
            </w: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4911.10</w:t>
            </w:r>
          </w:p>
        </w:tc>
        <w:tc>
          <w:tcPr>
            <w:tcW w:w="13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Các ấn phẩm quảng cáo thương mại, các catalog thương mại và các ấn phẩm tương tự:</w:t>
            </w:r>
          </w:p>
        </w:tc>
        <w:tc>
          <w:tcPr>
            <w:tcW w:w="135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Các ấn phẩm quảng cáo thương mại, các catalog thương mại và các ấn phẩm tương tự (không bao gồm thể loại khoa học - kỹ thuật, ví dụ: hướng dẫn sử dụng hàng hóa, thiết bị, sản phẩm)</w:t>
            </w: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4911.10.90</w:t>
            </w:r>
          </w:p>
        </w:tc>
        <w:tc>
          <w:tcPr>
            <w:tcW w:w="13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135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Loại khác:</w:t>
            </w:r>
          </w:p>
        </w:tc>
        <w:tc>
          <w:tcPr>
            <w:tcW w:w="135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4911.91.29</w:t>
            </w:r>
          </w:p>
        </w:tc>
        <w:tc>
          <w:tcPr>
            <w:tcW w:w="13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135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Tranh in và ảnh khác:</w:t>
            </w:r>
          </w:p>
        </w:tc>
        <w:tc>
          <w:tcPr>
            <w:tcW w:w="135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4911.91.39</w:t>
            </w:r>
          </w:p>
        </w:tc>
        <w:tc>
          <w:tcPr>
            <w:tcW w:w="13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135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4911.91.90</w:t>
            </w:r>
          </w:p>
        </w:tc>
        <w:tc>
          <w:tcPr>
            <w:tcW w:w="13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135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4911.99</w:t>
            </w:r>
          </w:p>
        </w:tc>
        <w:tc>
          <w:tcPr>
            <w:tcW w:w="13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135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4911.99.90</w:t>
            </w:r>
          </w:p>
        </w:tc>
        <w:tc>
          <w:tcPr>
            <w:tcW w:w="132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135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Bản khắc, bản in, bản in lito đã có nội dung thay sách hoặc dùng để minh họa cho sách (không thuộc nhóm 9702.00.00) và loại khác</w:t>
            </w: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59"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4911.10.10</w:t>
            </w:r>
          </w:p>
        </w:tc>
        <w:tc>
          <w:tcPr>
            <w:tcW w:w="1327"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Catalog chỉ liệt kê tên sách và các ấn phẩm về giáo dục, kỹ thuật, khoa học, lịch sử hoặc văn hóa</w:t>
            </w:r>
          </w:p>
        </w:tc>
        <w:tc>
          <w:tcPr>
            <w:tcW w:w="1356"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Catalog chỉ liệt kê tên sách và tên các ấn phẩm về giáo dục, kỹ thuật, khoa học, lịch sử hoặc văn hóa</w:t>
            </w:r>
          </w:p>
        </w:tc>
        <w:tc>
          <w:tcPr>
            <w:tcW w:w="804"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Không yêu cầu văn bản xác nhận đăng ký nhập khẩu</w:t>
            </w:r>
          </w:p>
        </w:tc>
        <w:tc>
          <w:tcPr>
            <w:tcW w:w="754"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Không yêu cầu giấy phép nhập khẩu</w:t>
            </w:r>
          </w:p>
        </w:tc>
      </w:tr>
    </w:tbl>
    <w:p>
      <w:pPr>
        <w:bidi w:val="0"/>
        <w:spacing w:before="120" w:beforeAutospacing="0" w:after="280" w:afterAutospacing="1"/>
      </w:pPr>
      <w:r>
        <w:rPr>
          <w:rtl w:val="0"/>
        </w:rPr>
        <w:t xml:space="preserve">2. Trình tự, thủ tục, hồ sơ xác nhận đăng ký nhập khẩu xuất bản phẩm để kinh doanh đối với hàng hóa trong Danh mục tại Mục I.1 thực hiện theo quy định tại </w:t>
      </w:r>
      <w:bookmarkStart w:id="34" w:name="dc_2"/>
      <w:r>
        <w:rPr>
          <w:rtl w:val="0"/>
        </w:rPr>
        <w:t>Điều 39 Luật Xuất bản</w:t>
      </w:r>
      <w:bookmarkEnd w:id="34"/>
      <w:r>
        <w:rPr>
          <w:rtl w:val="0"/>
        </w:rPr>
        <w:t xml:space="preserve"> và </w:t>
      </w:r>
      <w:bookmarkStart w:id="35" w:name="cumtu_3"/>
      <w:r>
        <w:rPr>
          <w:rtl w:val="0"/>
        </w:rPr>
        <w:t>Thông tư số 23/2014/TT-BTTTT ngày 29 tháng 12 năm 2014 của Bộ trưởng Bộ Thông tin và Truyền thông quy định chi tiết và hướng dẫn thi hành một số điều của Luật Xuất bản và Nghị định số 195/2013/NĐ-CP ngày 21 tháng 11 năm 2013 của Chính phủ quy định chi tiết một số điều và biện pháp thi hành Luật Xuất bản</w:t>
      </w:r>
      <w:bookmarkEnd w:id="35"/>
      <w:r>
        <w:rPr>
          <w:rtl w:val="0"/>
        </w:rPr>
        <w:t>.</w:t>
      </w:r>
    </w:p>
    <w:p>
      <w:pPr>
        <w:bidi w:val="0"/>
        <w:spacing w:before="120" w:beforeAutospacing="0" w:after="280" w:afterAutospacing="1"/>
      </w:pPr>
      <w:r>
        <w:rPr>
          <w:rtl w:val="0"/>
        </w:rPr>
        <w:t xml:space="preserve">3. Trình tự, thủ tục, hồ sơ cấp giấy phép nhập khẩu xuất bản phẩm không kinh doanh đối với hàng hóa trong Danh mục tại Mục I.1 thực hiện theo quy định tại </w:t>
      </w:r>
      <w:bookmarkStart w:id="36" w:name="dc_3"/>
      <w:r>
        <w:rPr>
          <w:rtl w:val="0"/>
        </w:rPr>
        <w:t>Điều 41 Luật Xuất bản</w:t>
      </w:r>
      <w:bookmarkEnd w:id="36"/>
      <w:r>
        <w:rPr>
          <w:rtl w:val="0"/>
        </w:rPr>
        <w:t xml:space="preserve"> và </w:t>
      </w:r>
      <w:bookmarkStart w:id="37" w:name="cumtu_4"/>
      <w:r>
        <w:rPr>
          <w:rtl w:val="0"/>
        </w:rPr>
        <w:t>Thông tư số 23/2014/TT-BTTTT ngày 29 tháng 12 năm 2014 của Bộ trưởng Bộ Thông tin và Truyền thông quy định chi tiết và hướng dẫn thi hành một số điều của Luật Xuất bản và Nghị định số 195/2013/NĐ-CP ngày 21 tháng 11 năm 2013 của Chính phủ quy định chi tiết một số điều và biện pháp thi hành Luật Xuất bản</w:t>
      </w:r>
      <w:bookmarkEnd w:id="37"/>
      <w:r>
        <w:rPr>
          <w:rtl w:val="0"/>
        </w:rPr>
        <w:t>.</w:t>
      </w:r>
    </w:p>
    <w:p>
      <w:pPr>
        <w:bidi w:val="0"/>
        <w:spacing w:before="120" w:beforeAutospacing="0" w:after="280" w:afterAutospacing="1"/>
      </w:pPr>
      <w:r>
        <w:rPr>
          <w:rtl w:val="0"/>
        </w:rPr>
        <w:t xml:space="preserve">4. Hàng hóa trong Danh mục tại Mục I.1 thuộc trường hợp không phải cấp giấy phép nhập khẩu theo quy định tại </w:t>
      </w:r>
      <w:bookmarkStart w:id="38" w:name="dc_4"/>
      <w:r>
        <w:rPr>
          <w:rtl w:val="0"/>
        </w:rPr>
        <w:t>Khoản 1, Khoản 2 Điều 42 Luật Xuất bản</w:t>
      </w:r>
      <w:bookmarkEnd w:id="38"/>
      <w:r>
        <w:rPr>
          <w:rtl w:val="0"/>
        </w:rPr>
        <w:t xml:space="preserve"> thì không áp dụng hình thức quản lý tại Thông tư này.</w:t>
      </w:r>
    </w:p>
    <w:p>
      <w:pPr>
        <w:bidi w:val="0"/>
        <w:spacing w:before="120" w:beforeAutospacing="0" w:after="280" w:afterAutospacing="1"/>
      </w:pPr>
      <w:r>
        <w:rPr>
          <w:rtl w:val="0"/>
        </w:rPr>
        <w:t xml:space="preserve">5. Hàng hóa trong Danh mục tại Mục I.1 có nội dung vi phạm quy định tại </w:t>
      </w:r>
      <w:bookmarkStart w:id="39" w:name="dc_5"/>
      <w:r>
        <w:rPr>
          <w:rtl w:val="0"/>
        </w:rPr>
        <w:t>Khoản 1 Điều 10 Luật Xuất bản</w:t>
      </w:r>
      <w:bookmarkEnd w:id="39"/>
      <w:r>
        <w:rPr>
          <w:rtl w:val="0"/>
        </w:rPr>
        <w:t xml:space="preserve"> bị cấm nhập khẩu dưới mọi hình thức.</w:t>
      </w:r>
    </w:p>
    <w:p>
      <w:pPr>
        <w:bidi w:val="0"/>
        <w:spacing w:before="120" w:beforeAutospacing="0" w:after="280" w:afterAutospacing="1"/>
      </w:pPr>
      <w:bookmarkStart w:id="40" w:name="muc_2_1"/>
      <w:r>
        <w:rPr>
          <w:b/>
          <w:bCs/>
          <w:rtl w:val="0"/>
        </w:rPr>
        <w:t>II. Hàng hóa xuất khẩu</w:t>
      </w:r>
      <w:bookmarkEnd w:id="40"/>
    </w:p>
    <w:p>
      <w:pPr>
        <w:bidi w:val="0"/>
        <w:spacing w:before="120" w:beforeAutospacing="0" w:after="280" w:afterAutospacing="1"/>
      </w:pPr>
      <w:r>
        <w:rPr>
          <w:rtl w:val="0"/>
        </w:rPr>
        <w:t xml:space="preserve">1. Hàng hóa trong Danh mục tại Mục I.1 đã được xuất bản và lưu hành hợp pháp tại Việt Nam được phép xuất khẩu ra nước ngoài theo quy định tại </w:t>
      </w:r>
      <w:bookmarkStart w:id="41" w:name="dc_6"/>
      <w:r>
        <w:rPr>
          <w:rtl w:val="0"/>
        </w:rPr>
        <w:t>Điều 43 Luật Xuất bản</w:t>
      </w:r>
      <w:bookmarkEnd w:id="41"/>
      <w:r>
        <w:rPr>
          <w:rtl w:val="0"/>
        </w:rPr>
        <w:t xml:space="preserve"> và không phải có giấy phép xuất khẩu của Bộ Thông tin và Truyền thông.</w:t>
      </w:r>
    </w:p>
    <w:p>
      <w:pPr>
        <w:bidi w:val="0"/>
        <w:spacing w:before="120" w:beforeAutospacing="0" w:after="280" w:afterAutospacing="1"/>
      </w:pPr>
      <w:r>
        <w:rPr>
          <w:rtl w:val="0"/>
        </w:rPr>
        <w:t xml:space="preserve">2. Hàng hóa trong Danh mục tại Mục I.1 có nội dung vi phạm quy định tại </w:t>
      </w:r>
      <w:bookmarkStart w:id="42" w:name="dc_7"/>
      <w:r>
        <w:rPr>
          <w:rtl w:val="0"/>
        </w:rPr>
        <w:t>Khoản 1 Điều 10 Luật Xuất bản</w:t>
      </w:r>
      <w:bookmarkEnd w:id="42"/>
      <w:r>
        <w:rPr>
          <w:rtl w:val="0"/>
        </w:rPr>
        <w:t xml:space="preserve"> bị cấm xuất khẩu dưới mọi hình thức./.</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