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3"/>
        <w:gridCol w:w="527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lang w:val="id-ID" w:eastAsia="id-ID"/>
              </w:rPr>
              <w:t>BỘ CÔNG THƯƠNG</w:t>
            </w:r>
            <w:r>
              <w:rPr>
                <w:b/>
                <w:bCs/>
                <w:rtl w:val="0"/>
                <w:lang w:val="id-ID" w:eastAsia="id-ID"/>
              </w:rPr>
              <w:br/>
            </w:r>
            <w:r>
              <w:rPr>
                <w:b/>
                <w:bCs/>
                <w:rtl w:val="0"/>
                <w:lang w:val="id-ID" w:eastAsia="id-ID"/>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lang w:val="id-ID" w:eastAsia="id-ID"/>
              </w:rPr>
              <w:t>Số: 2084/QĐ-BCT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lang w:val="id-ID" w:eastAsia="id-ID"/>
              </w:rPr>
              <w:t>Hà Nội, ngày 22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color w:val="000000"/>
          <w:sz w:val="24"/>
          <w:rtl w:val="0"/>
          <w:lang w:val="id-ID" w:eastAsia="id-ID"/>
        </w:rPr>
        <w:t>QUYẾT ĐỊNH</w:t>
      </w:r>
      <w:bookmarkEnd w:id="0"/>
    </w:p>
    <w:p>
      <w:pPr>
        <w:bidi w:val="0"/>
        <w:spacing w:before="120" w:beforeAutospacing="0" w:after="280" w:afterAutospacing="1"/>
        <w:jc w:val="center"/>
      </w:pPr>
      <w:bookmarkStart w:id="1" w:name="loai_1_name"/>
      <w:r>
        <w:rPr>
          <w:color w:val="000000"/>
          <w:rtl w:val="0"/>
          <w:lang w:val="id-ID" w:eastAsia="id-ID"/>
        </w:rPr>
        <w:t>VỀ KẾT QUẢ RÀ SOÁT LẦN THỨ BA VIỆC ÁP DỤNG BIỆN PHÁP CHỐNG BÁN PHÁ GIÁ ĐỐI VỚI MỘT SỐ SẢN PHẨM THÉP HÌNH CHỮ H CÓ XUẤT XỨ TỪ CỘNG HÒA NHÂN DÂN TRUNG HOA</w:t>
      </w:r>
      <w:bookmarkEnd w:id="1"/>
    </w:p>
    <w:p>
      <w:pPr>
        <w:bidi w:val="0"/>
        <w:spacing w:before="120" w:beforeAutospacing="0" w:after="280" w:afterAutospacing="1"/>
        <w:jc w:val="center"/>
      </w:pPr>
      <w:r>
        <w:rPr>
          <w:b/>
          <w:bCs/>
          <w:color w:val="000000"/>
          <w:sz w:val="24"/>
          <w:rtl w:val="0"/>
          <w:lang w:val="id-ID" w:eastAsia="id-ID"/>
        </w:rPr>
        <w:t>BỘ TRƯỞNG BỘ CÔNG THƯƠNG</w:t>
      </w:r>
    </w:p>
    <w:p>
      <w:pPr>
        <w:bidi w:val="0"/>
        <w:spacing w:before="120" w:beforeAutospacing="0" w:after="280" w:afterAutospacing="1"/>
      </w:pPr>
      <w:r>
        <w:rPr>
          <w:i/>
          <w:iCs/>
          <w:color w:val="000000"/>
          <w:rtl w:val="0"/>
          <w:lang w:val="id-ID" w:eastAsia="id-ID"/>
        </w:rPr>
        <w:t>Căn cứ Luật Quản lý ngoại thương số 05/2017/QH14 ngày 12 tháng 6 năm 2017;</w:t>
      </w:r>
    </w:p>
    <w:p>
      <w:pPr>
        <w:bidi w:val="0"/>
        <w:spacing w:before="120" w:beforeAutospacing="0" w:after="280" w:afterAutospacing="1"/>
      </w:pPr>
      <w:r>
        <w:rPr>
          <w:i/>
          <w:iCs/>
          <w:color w:val="000000"/>
          <w:rtl w:val="0"/>
          <w:lang w:val="id-ID" w:eastAsia="id-ID"/>
        </w:rPr>
        <w:t>Căn cứ Nghị định số 40/2025/NĐ-CP ngày 26 tháng 02 năm 2025 của Chính phủ quy định chức năng, nhiệm vụ, quyền hạn và cơ cấu tổ chức của Bộ Công Thương;</w:t>
      </w:r>
    </w:p>
    <w:p>
      <w:pPr>
        <w:bidi w:val="0"/>
        <w:spacing w:before="120" w:beforeAutospacing="0" w:after="280" w:afterAutospacing="1"/>
      </w:pPr>
      <w:r>
        <w:rPr>
          <w:i/>
          <w:iCs/>
          <w:color w:val="000000"/>
          <w:rtl w:val="0"/>
          <w:lang w:val="id-ID" w:eastAsia="id-ID"/>
        </w:rPr>
        <w:t>Căn cứ Nghị định số 86/2025/NĐ-CP ngày 11 tháng 4 năm 2025 của Chính phủ quy định chi tiết một số điều của Luật Quản lý ngoại thương về các biện pháp phòng vệ thương mại;</w:t>
      </w:r>
    </w:p>
    <w:p>
      <w:pPr>
        <w:bidi w:val="0"/>
        <w:spacing w:before="120" w:beforeAutospacing="0" w:after="280" w:afterAutospacing="1"/>
      </w:pPr>
      <w:r>
        <w:rPr>
          <w:i/>
          <w:iCs/>
          <w:color w:val="000000"/>
          <w:rtl w:val="0"/>
          <w:lang w:val="id-ID" w:eastAsia="id-ID"/>
        </w:rPr>
        <w:t>Căn cứ Thông tư số 26/2025/TT-BCT ngày 15 tháng 5 năm 2025 của Bộ trưởng Bộ Công Thương quy định chi tiết một số nội dung về các biện pháp phòng vệ thương mại;</w:t>
      </w:r>
    </w:p>
    <w:p>
      <w:pPr>
        <w:bidi w:val="0"/>
        <w:spacing w:before="120" w:beforeAutospacing="0" w:after="280" w:afterAutospacing="1"/>
      </w:pPr>
      <w:r>
        <w:rPr>
          <w:i/>
          <w:iCs/>
          <w:color w:val="000000"/>
          <w:rtl w:val="0"/>
          <w:lang w:val="id-ID" w:eastAsia="id-ID"/>
        </w:rPr>
        <w:t>Căn cứ Quyết định số 536/QĐ-BCT ngày 28 tháng 02 năm 2025 của Bộ trưởng Bộ Công Thương quy định chức năng, nhiệm vụ, quyền hạn và cơ cấu tổ chức của Cục Phòng vệ thương mại;</w:t>
      </w:r>
    </w:p>
    <w:p>
      <w:pPr>
        <w:bidi w:val="0"/>
        <w:spacing w:before="120" w:beforeAutospacing="0" w:after="280" w:afterAutospacing="1"/>
      </w:pPr>
      <w:r>
        <w:rPr>
          <w:i/>
          <w:iCs/>
          <w:color w:val="000000"/>
          <w:rtl w:val="0"/>
          <w:lang w:val="id-ID" w:eastAsia="id-ID"/>
        </w:rPr>
        <w:t>Căn cứ Quyết định số 1640/QĐ-BCT ngày 19 tháng 8 năm 2022 của Bộ trưởng Bộ Công Thương về kết quả rà soát cuối kỳ việc áp dụng biện pháp chống bán phá giá đối với một số sản phẩm thép hình chữ H xuất xứ từ nước Cộng hòa nhân dân Trung Hoa;</w:t>
      </w:r>
    </w:p>
    <w:p>
      <w:pPr>
        <w:bidi w:val="0"/>
        <w:spacing w:before="120" w:beforeAutospacing="0" w:after="280" w:afterAutospacing="1"/>
      </w:pPr>
      <w:r>
        <w:rPr>
          <w:i/>
          <w:iCs/>
          <w:color w:val="000000"/>
          <w:rtl w:val="0"/>
          <w:lang w:val="id-ID" w:eastAsia="id-ID"/>
        </w:rPr>
        <w:t>Căn cứ Quyết định số 3098/QĐ-BCT ngày 25 tháng 11 năm 2024 của Bộ trưởng Bộ Công Thương về kết quả rà soát lần thứ hai việc áp dụng biện pháp chống bán phá giá đối với một số sản phẩm thép hình chữ H có xuất xứ từ Cộng hòa nhân dân Trung Hoa;</w:t>
      </w:r>
    </w:p>
    <w:p>
      <w:pPr>
        <w:bidi w:val="0"/>
        <w:spacing w:before="120" w:beforeAutospacing="0" w:after="280" w:afterAutospacing="1"/>
      </w:pPr>
      <w:r>
        <w:rPr>
          <w:i/>
          <w:iCs/>
          <w:color w:val="000000"/>
          <w:rtl w:val="0"/>
          <w:lang w:val="id-ID" w:eastAsia="id-ID"/>
        </w:rPr>
        <w:t>Căn cứ Quyết định số 3411/QĐ-BCT ngày 21 tháng 11 năm 2025 của Bộ trưởng Bộ Công Thương về việc rà soát lần thứ ba việc áp dụng biện pháp chống bán phá giá đối với một số sản phẩm thép hình H có xuất xứ từ nước Cộng hòa nhân dân Trung Hoa;</w:t>
      </w:r>
    </w:p>
    <w:p>
      <w:pPr>
        <w:bidi w:val="0"/>
        <w:spacing w:before="120" w:beforeAutospacing="0" w:after="280" w:afterAutospacing="1"/>
      </w:pPr>
      <w:r>
        <w:rPr>
          <w:i/>
          <w:iCs/>
          <w:color w:val="000000"/>
          <w:rtl w:val="0"/>
          <w:lang w:val="id-ID" w:eastAsia="id-ID"/>
        </w:rPr>
        <w:t>Căn cứ Quyết định số 1191/QĐ-BCT ngày 21 tháng 5 năm 2026 của Bộ trưởng Bộ Công Thương về việc gia hạn thời hạn rà soát trong vụ việc rà soát lần thứ ba việc áp dụng biện pháp chống bán phá giá đối với một số sản phẩm thép hình chữ H có xuất xứ từ Cộng hòa nhân dân Trung Hoa;</w:t>
      </w:r>
    </w:p>
    <w:p>
      <w:pPr>
        <w:bidi w:val="0"/>
        <w:spacing w:before="120" w:beforeAutospacing="0" w:after="280" w:afterAutospacing="1"/>
      </w:pPr>
      <w:r>
        <w:rPr>
          <w:i/>
          <w:iCs/>
          <w:color w:val="000000"/>
          <w:rtl w:val="0"/>
          <w:lang w:val="id-ID" w:eastAsia="id-ID"/>
        </w:rPr>
        <w:t>Theo đề nghị của Cục trưởng Cục Phòng vệ thương mại.</w:t>
      </w:r>
    </w:p>
    <w:p>
      <w:pPr>
        <w:bidi w:val="0"/>
        <w:spacing w:before="120" w:beforeAutospacing="0" w:after="280" w:afterAutospacing="1"/>
        <w:jc w:val="center"/>
      </w:pPr>
      <w:r>
        <w:rPr>
          <w:b/>
          <w:bCs/>
          <w:color w:val="000000"/>
          <w:sz w:val="24"/>
          <w:rtl w:val="0"/>
          <w:lang w:val="id-ID" w:eastAsia="id-ID"/>
        </w:rPr>
        <w:t>QUYẾT ĐỊNH:</w:t>
      </w:r>
    </w:p>
    <w:p>
      <w:pPr>
        <w:bidi w:val="0"/>
        <w:spacing w:before="120" w:beforeAutospacing="0" w:after="280" w:afterAutospacing="1"/>
      </w:pPr>
      <w:bookmarkStart w:id="2" w:name="dieu_1"/>
      <w:r>
        <w:rPr>
          <w:b/>
          <w:bCs/>
          <w:color w:val="000000"/>
          <w:rtl w:val="0"/>
          <w:lang w:val="id-ID" w:eastAsia="id-ID"/>
        </w:rPr>
        <w:t>Điều 1.</w:t>
      </w:r>
      <w:bookmarkEnd w:id="2"/>
      <w:r>
        <w:rPr>
          <w:b/>
          <w:bCs/>
          <w:color w:val="000000"/>
          <w:rtl w:val="0"/>
          <w:lang w:val="id-ID" w:eastAsia="id-ID"/>
        </w:rPr>
        <w:t xml:space="preserve"> </w:t>
      </w:r>
      <w:bookmarkStart w:id="3" w:name="dieu_1_name"/>
      <w:r>
        <w:rPr>
          <w:color w:val="000000"/>
          <w:rtl w:val="0"/>
          <w:lang w:val="id-ID" w:eastAsia="id-ID"/>
        </w:rPr>
        <w:t>Điều chỉnh mức thuế chống bán phá giá đối với Nhóm công ty Jinxi trên cơ sở kết quả rà soát lần thứ ba việc áp dụng biện pháp chống bán phá giá đối với một số sản phẩm thép hình chữ H có xuất xứ từ Cộng hòa nhân dân Trung Hoa (mã vụ việc AR03.AD03) với nội dung chi tiết được nêu tại Thông báo kèm theo Quyết định này.</w:t>
      </w:r>
      <w:bookmarkEnd w:id="3"/>
    </w:p>
    <w:p>
      <w:pPr>
        <w:bidi w:val="0"/>
        <w:spacing w:before="120" w:beforeAutospacing="0" w:after="280" w:afterAutospacing="1"/>
        <w:rPr>
          <w:rtl w:val="0"/>
        </w:rPr>
      </w:pPr>
      <w:bookmarkStart w:id="4" w:name="dieu_2"/>
      <w:r>
        <w:rPr>
          <w:b/>
          <w:bCs/>
          <w:color w:val="000000"/>
          <w:rtl w:val="0"/>
          <w:lang w:val="id-ID" w:eastAsia="id-ID"/>
        </w:rPr>
        <w:t>Điều 2.</w:t>
      </w:r>
      <w:bookmarkEnd w:id="4"/>
      <w:r>
        <w:rPr>
          <w:b/>
          <w:bCs/>
          <w:color w:val="000000"/>
          <w:rtl w:val="0"/>
          <w:lang w:val="id-ID" w:eastAsia="id-ID"/>
        </w:rPr>
        <w:t xml:space="preserve"> </w:t>
      </w:r>
      <w:bookmarkStart w:id="5" w:name="dieu_2_name"/>
      <w:r>
        <w:rPr>
          <w:color w:val="000000"/>
          <w:rtl w:val="0"/>
          <w:lang w:val="id-ID" w:eastAsia="id-ID"/>
        </w:rPr>
        <w:t>Trình tự thủ tục áp dụng biện pháp chống bán phá giá được thực hiện theo pháp luật về chống bán phá giá hàng hóa nhập khẩu vào Việt Nam, pháp luật về thuế xuất nhập khẩu và các quy định pháp luật có liên quan.</w:t>
      </w:r>
      <w:bookmarkEnd w:id="5"/>
    </w:p>
    <w:p>
      <w:pPr>
        <w:bidi w:val="0"/>
        <w:spacing w:before="120" w:beforeAutospacing="0" w:after="280" w:afterAutospacing="1"/>
        <w:rPr>
          <w:rtl w:val="0"/>
        </w:rPr>
      </w:pPr>
      <w:bookmarkStart w:id="6" w:name="dieu_3"/>
      <w:r>
        <w:rPr>
          <w:b/>
          <w:bCs/>
          <w:color w:val="000000"/>
          <w:rtl w:val="0"/>
          <w:lang w:val="id-ID" w:eastAsia="id-ID"/>
        </w:rPr>
        <w:t>Điều 3.</w:t>
      </w:r>
      <w:bookmarkEnd w:id="6"/>
      <w:r>
        <w:rPr>
          <w:b/>
          <w:bCs/>
          <w:color w:val="000000"/>
          <w:rtl w:val="0"/>
          <w:lang w:val="id-ID" w:eastAsia="id-ID"/>
        </w:rPr>
        <w:t xml:space="preserve"> </w:t>
      </w:r>
      <w:bookmarkStart w:id="7" w:name="dieu_3_name"/>
      <w:r>
        <w:rPr>
          <w:color w:val="000000"/>
          <w:rtl w:val="0"/>
          <w:lang w:val="id-ID" w:eastAsia="id-ID"/>
        </w:rPr>
        <w:t>Quyết định này thay thế Quyết định số 3098/QĐ-BCT ngày 25 tháng 11 năm 2024 của Bộ trưởng Bộ Công Thương về kết quả rà soát lần thứ hai việc áp dụng biện pháp chống bán phá giá đối với một số sản phẩm thép hình chữ H có xuất xứ từ Cộng hòa nhân dân Trung Hoa.</w:t>
      </w:r>
      <w:bookmarkEnd w:id="7"/>
    </w:p>
    <w:p>
      <w:pPr>
        <w:bidi w:val="0"/>
        <w:spacing w:before="120" w:beforeAutospacing="0" w:after="280" w:afterAutospacing="1"/>
        <w:rPr>
          <w:rtl w:val="0"/>
        </w:rPr>
      </w:pPr>
      <w:bookmarkStart w:id="8" w:name="dieu_4"/>
      <w:r>
        <w:rPr>
          <w:b/>
          <w:bCs/>
          <w:color w:val="000000"/>
          <w:rtl w:val="0"/>
          <w:lang w:val="id-ID" w:eastAsia="id-ID"/>
        </w:rPr>
        <w:t>Điều 4.</w:t>
      </w:r>
      <w:bookmarkEnd w:id="8"/>
      <w:r>
        <w:rPr>
          <w:b/>
          <w:bCs/>
          <w:color w:val="000000"/>
          <w:rtl w:val="0"/>
          <w:lang w:val="id-ID" w:eastAsia="id-ID"/>
        </w:rPr>
        <w:t xml:space="preserve"> </w:t>
      </w:r>
      <w:bookmarkStart w:id="9" w:name="dieu_4_name"/>
      <w:r>
        <w:rPr>
          <w:color w:val="000000"/>
          <w:rtl w:val="0"/>
          <w:lang w:val="id-ID" w:eastAsia="id-ID"/>
        </w:rPr>
        <w:t>Các Quyết định miễn trừ việc áp dụng biện pháp chống bán phá giá đã được Bộ trưởng Bộ Công Thương ban hành trước ngày Quyết định này có hiệu lực được tiếp tục có giá trị thực hiện đến hết thời hạn hiệu lực của Quyết định miễn trừ đó.</w:t>
      </w:r>
      <w:bookmarkEnd w:id="9"/>
    </w:p>
    <w:p>
      <w:pPr>
        <w:bidi w:val="0"/>
        <w:spacing w:before="120" w:beforeAutospacing="0" w:after="280" w:afterAutospacing="1"/>
        <w:rPr>
          <w:rtl w:val="0"/>
        </w:rPr>
      </w:pPr>
      <w:bookmarkStart w:id="10" w:name="dieu_5"/>
      <w:r>
        <w:rPr>
          <w:b/>
          <w:bCs/>
          <w:color w:val="000000"/>
          <w:rtl w:val="0"/>
          <w:lang w:val="id-ID" w:eastAsia="id-ID"/>
        </w:rPr>
        <w:t>Điều 5.</w:t>
      </w:r>
      <w:bookmarkEnd w:id="10"/>
      <w:r>
        <w:rPr>
          <w:b/>
          <w:bCs/>
          <w:color w:val="000000"/>
          <w:rtl w:val="0"/>
          <w:lang w:val="id-ID" w:eastAsia="id-ID"/>
        </w:rPr>
        <w:t xml:space="preserve"> </w:t>
      </w:r>
      <w:bookmarkStart w:id="11" w:name="dieu_5_name"/>
      <w:r>
        <w:rPr>
          <w:color w:val="000000"/>
          <w:rtl w:val="0"/>
          <w:lang w:val="id-ID" w:eastAsia="id-ID"/>
        </w:rPr>
        <w:t>Quyết định này có hiệu lực thi hành sau 15 ngày kể từ ngày ban hành.</w:t>
      </w:r>
      <w:bookmarkEnd w:id="11"/>
    </w:p>
    <w:p>
      <w:pPr>
        <w:bidi w:val="0"/>
        <w:spacing w:before="120" w:beforeAutospacing="0" w:after="280" w:afterAutospacing="1"/>
        <w:rPr>
          <w:rtl w:val="0"/>
        </w:rPr>
      </w:pPr>
      <w:bookmarkStart w:id="12" w:name="dieu_6"/>
      <w:r>
        <w:rPr>
          <w:b/>
          <w:bCs/>
          <w:color w:val="000000"/>
          <w:rtl w:val="0"/>
          <w:lang w:val="id-ID" w:eastAsia="id-ID"/>
        </w:rPr>
        <w:t>Điều 6.</w:t>
      </w:r>
      <w:bookmarkEnd w:id="12"/>
      <w:r>
        <w:rPr>
          <w:b/>
          <w:bCs/>
          <w:color w:val="000000"/>
          <w:rtl w:val="0"/>
          <w:lang w:val="id-ID" w:eastAsia="id-ID"/>
        </w:rPr>
        <w:t xml:space="preserve"> </w:t>
      </w:r>
      <w:bookmarkStart w:id="13" w:name="dieu_6_name"/>
      <w:r>
        <w:rPr>
          <w:color w:val="000000"/>
          <w:rtl w:val="0"/>
          <w:lang w:val="id-ID" w:eastAsia="id-ID"/>
        </w:rPr>
        <w:t>Chánh Văn phòng Bộ, Cục trưởng Cục Phòng vệ thương mại và các bên liên quan chịu trách nhiệm thi hành Quyết định này./.</w:t>
      </w:r>
      <w:bookmarkEnd w:id="13"/>
    </w:p>
    <w:p>
      <w:pPr>
        <w:bidi w:val="0"/>
        <w:spacing w:before="120" w:beforeAutospacing="0" w:after="280" w:afterAutospacing="1"/>
        <w:rPr>
          <w:rtl w:val="0"/>
        </w:rPr>
      </w:pPr>
      <w:r>
        <w:rPr>
          <w:color w:val="000000"/>
          <w:rtl w:val="0"/>
          <w:lang w:val="id-ID" w:eastAsia="id-ID"/>
        </w:rPr>
        <w:t> </w:t>
      </w:r>
    </w:p>
    <w:tbl>
      <w:tblPr>
        <w:jc w:val="left"/>
        <w:tblCellMar>
          <w:top w:w="0" w:type="dxa"/>
          <w:left w:w="0" w:type="dxa"/>
          <w:bottom w:w="0" w:type="dxa"/>
          <w:right w:w="0" w:type="dxa"/>
        </w:tblCellMar>
      </w:tblPr>
      <w:tblGrid>
        <w:gridCol w:w="4316"/>
        <w:gridCol w:w="432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lang w:val="id-ID" w:eastAsia="id-ID"/>
              </w:rPr>
              <w:br/>
            </w:r>
            <w:r>
              <w:rPr>
                <w:b/>
                <w:bCs/>
                <w:i/>
                <w:iCs/>
                <w:rtl w:val="0"/>
                <w:lang w:val="id-ID" w:eastAsia="id-ID"/>
              </w:rPr>
              <w:t>Nơi nhận:</w:t>
            </w:r>
            <w:r>
              <w:rPr>
                <w:b/>
                <w:bCs/>
                <w:i/>
                <w:iCs/>
                <w:rtl w:val="0"/>
                <w:lang w:val="id-ID" w:eastAsia="id-ID"/>
              </w:rPr>
              <w:br/>
            </w:r>
            <w:r>
              <w:rPr>
                <w:sz w:val="16"/>
                <w:rtl w:val="0"/>
              </w:rPr>
              <w:t>- Như Điều 5;</w:t>
            </w:r>
            <w:r>
              <w:rPr>
                <w:sz w:val="16"/>
                <w:rtl w:val="0"/>
              </w:rPr>
              <w:br/>
            </w:r>
            <w:r>
              <w:rPr>
                <w:sz w:val="16"/>
                <w:rtl w:val="0"/>
              </w:rPr>
              <w:t>- Văn phòng Chính phủ;</w:t>
            </w:r>
            <w:r>
              <w:rPr>
                <w:sz w:val="16"/>
                <w:rtl w:val="0"/>
              </w:rPr>
              <w:br/>
            </w:r>
            <w:r>
              <w:rPr>
                <w:sz w:val="16"/>
                <w:rtl w:val="0"/>
              </w:rPr>
              <w:t>- Các Bộ: TC, NG, KHCN;</w:t>
            </w:r>
            <w:r>
              <w:rPr>
                <w:sz w:val="16"/>
                <w:rtl w:val="0"/>
              </w:rPr>
              <w:br/>
            </w:r>
            <w:r>
              <w:rPr>
                <w:sz w:val="16"/>
                <w:rtl w:val="0"/>
              </w:rPr>
              <w:t>- Bộ trưởng;</w:t>
            </w:r>
            <w:r>
              <w:rPr>
                <w:sz w:val="16"/>
                <w:rtl w:val="0"/>
              </w:rPr>
              <w:br/>
            </w:r>
            <w:r>
              <w:rPr>
                <w:sz w:val="16"/>
                <w:rtl w:val="0"/>
              </w:rPr>
              <w:t>- Các Thứ trưởng;</w:t>
            </w:r>
            <w:r>
              <w:rPr>
                <w:sz w:val="16"/>
                <w:rtl w:val="0"/>
              </w:rPr>
              <w:br/>
            </w:r>
            <w:r>
              <w:rPr>
                <w:sz w:val="16"/>
                <w:rtl w:val="0"/>
              </w:rPr>
              <w:t>- Các website: Chính phủ, Bộ Công Thương;</w:t>
            </w:r>
            <w:r>
              <w:rPr>
                <w:sz w:val="16"/>
                <w:rtl w:val="0"/>
              </w:rPr>
              <w:br/>
            </w:r>
            <w:r>
              <w:rPr>
                <w:sz w:val="16"/>
                <w:rtl w:val="0"/>
              </w:rPr>
              <w:t>- Cục Hải quan;</w:t>
            </w:r>
            <w:r>
              <w:rPr>
                <w:sz w:val="16"/>
                <w:rtl w:val="0"/>
              </w:rPr>
              <w:br/>
            </w:r>
            <w:r>
              <w:rPr>
                <w:sz w:val="16"/>
                <w:rtl w:val="0"/>
              </w:rPr>
              <w:t>- Các Cục: CN, XNK;</w:t>
            </w:r>
            <w:r>
              <w:rPr>
                <w:sz w:val="16"/>
                <w:rtl w:val="0"/>
              </w:rPr>
              <w:br/>
            </w:r>
            <w:r>
              <w:rPr>
                <w:sz w:val="16"/>
                <w:rtl w:val="0"/>
              </w:rPr>
              <w:t>- Các Vụ: TTNN, ĐB, PC;</w:t>
            </w:r>
            <w:r>
              <w:rPr>
                <w:sz w:val="16"/>
                <w:rtl w:val="0"/>
              </w:rPr>
              <w:br/>
            </w:r>
            <w:r>
              <w:rPr>
                <w:sz w:val="16"/>
                <w:rtl w:val="0"/>
              </w:rPr>
              <w:t>- Văn phòng BCĐLNHNQT về kinh tế;</w:t>
            </w:r>
            <w:r>
              <w:rPr>
                <w:sz w:val="16"/>
                <w:rtl w:val="0"/>
              </w:rPr>
              <w:br/>
            </w:r>
            <w:r>
              <w:rPr>
                <w:sz w:val="16"/>
                <w:rtl w:val="0"/>
              </w:rPr>
              <w:t>- Lưu: VT, PVTM (05).</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lang w:val="id-ID" w:eastAsia="id-ID"/>
              </w:rPr>
              <w:t>KT. BỘ TRƯỞNG</w:t>
            </w:r>
            <w:r>
              <w:rPr>
                <w:color w:val="000000"/>
                <w:rtl w:val="0"/>
                <w:lang w:val="id-ID" w:eastAsia="id-ID"/>
              </w:rPr>
              <w:br/>
            </w:r>
            <w:r>
              <w:rPr>
                <w:b/>
                <w:bCs/>
                <w:color w:val="000000"/>
                <w:rtl w:val="0"/>
                <w:lang w:val="id-ID" w:eastAsia="id-ID"/>
              </w:rPr>
              <w:t>THỨ TRƯỞNG</w:t>
            </w:r>
            <w:r>
              <w:rPr>
                <w:color w:val="000000"/>
                <w:rtl w:val="0"/>
                <w:lang w:val="id-ID" w:eastAsia="id-ID"/>
              </w:rPr>
              <w:br/>
            </w:r>
            <w:r>
              <w:rPr>
                <w:color w:val="000000"/>
                <w:rtl w:val="0"/>
                <w:lang w:val="id-ID" w:eastAsia="id-ID"/>
              </w:rPr>
              <w:br/>
            </w:r>
            <w:r>
              <w:rPr>
                <w:color w:val="000000"/>
                <w:rtl w:val="0"/>
                <w:lang w:val="id-ID" w:eastAsia="id-ID"/>
              </w:rPr>
              <w:br/>
            </w:r>
            <w:r>
              <w:rPr>
                <w:color w:val="000000"/>
                <w:rtl w:val="0"/>
                <w:lang w:val="id-ID" w:eastAsia="id-ID"/>
              </w:rPr>
              <w:br/>
            </w:r>
            <w:r>
              <w:rPr>
                <w:color w:val="000000"/>
                <w:rtl w:val="0"/>
                <w:lang w:val="id-ID" w:eastAsia="id-ID"/>
              </w:rPr>
              <w:br/>
            </w:r>
            <w:r>
              <w:rPr>
                <w:b/>
                <w:bCs/>
                <w:color w:val="000000"/>
                <w:rtl w:val="0"/>
                <w:lang w:val="id-ID" w:eastAsia="id-ID"/>
              </w:rPr>
              <w:t>Nguyễn Sinh Nhật Tân</w:t>
            </w:r>
          </w:p>
        </w:tc>
      </w:tr>
    </w:tbl>
    <w:p>
      <w:pPr>
        <w:bidi w:val="0"/>
        <w:spacing w:before="120" w:beforeAutospacing="0" w:after="280" w:afterAutospacing="1"/>
        <w:rPr>
          <w:rtl w:val="0"/>
        </w:rPr>
      </w:pPr>
      <w:r>
        <w:rPr>
          <w:color w:val="000000"/>
          <w:rtl w:val="0"/>
          <w:lang w:val="id-ID" w:eastAsia="id-ID"/>
        </w:rPr>
        <w:t> </w:t>
      </w:r>
    </w:p>
    <w:p>
      <w:pPr>
        <w:bidi w:val="0"/>
        <w:spacing w:before="120" w:beforeAutospacing="0" w:after="280" w:afterAutospacing="1"/>
        <w:jc w:val="center"/>
        <w:rPr>
          <w:rtl w:val="0"/>
        </w:rPr>
      </w:pPr>
      <w:bookmarkStart w:id="14" w:name="loai_2"/>
      <w:r>
        <w:rPr>
          <w:b/>
          <w:bCs/>
          <w:color w:val="000000"/>
          <w:sz w:val="24"/>
          <w:rtl w:val="0"/>
          <w:lang w:val="id-ID" w:eastAsia="id-ID"/>
        </w:rPr>
        <w:t>THÔNG BÁO</w:t>
      </w:r>
      <w:bookmarkEnd w:id="14"/>
    </w:p>
    <w:p>
      <w:pPr>
        <w:bidi w:val="0"/>
        <w:spacing w:before="120" w:beforeAutospacing="0" w:after="280" w:afterAutospacing="1"/>
        <w:jc w:val="center"/>
        <w:rPr>
          <w:rtl w:val="0"/>
        </w:rPr>
      </w:pPr>
      <w:bookmarkStart w:id="15" w:name="loai_2_name"/>
      <w:r>
        <w:rPr>
          <w:color w:val="000000"/>
          <w:rtl w:val="0"/>
          <w:lang w:val="id-ID" w:eastAsia="id-ID"/>
        </w:rPr>
        <w:t>ĐIỀU CHỈNH MỨC THUẾ CHỐNG BÁN PHÁ GIÁ ĐỐI VỚI NHÓM CÔNG TY JINXI TRÊN CƠ SỞ KẾT QUẢ RÀ SOÁT LẦN THỨ BA VIỆC ÁP DỤNG BIỆN PHÁP CHỐNG BÁN PHÁ GIÁ ĐỐI VỚI MỘT SỐ SẢN PHẨM THÉP HÌNH CHỮ H CÓ XUẤT XỨ TỪ CỘNG HÒA NHÂN DÂN TRUNG HOA</w:t>
      </w:r>
      <w:bookmarkEnd w:id="15"/>
      <w:r>
        <w:rPr>
          <w:rtl w:val="0"/>
          <w:lang w:val="id-ID" w:eastAsia="id-ID"/>
        </w:rPr>
        <w:br/>
      </w:r>
      <w:r>
        <w:rPr>
          <w:i/>
          <w:iCs/>
          <w:color w:val="000000"/>
          <w:rtl w:val="0"/>
          <w:lang w:val="id-ID" w:eastAsia="id-ID"/>
        </w:rPr>
        <w:t>(Ban hành kèm theo Quyết định số 2084/QĐ-BCT ngày 22 tháng 8 năm 2026 của Bộ trưởng Bộ Công Thương)</w:t>
      </w:r>
    </w:p>
    <w:p>
      <w:pPr>
        <w:bidi w:val="0"/>
        <w:spacing w:before="120" w:beforeAutospacing="0" w:after="280" w:afterAutospacing="1"/>
        <w:rPr>
          <w:rtl w:val="0"/>
        </w:rPr>
      </w:pPr>
      <w:bookmarkStart w:id="16" w:name="dieu_1_1"/>
      <w:r>
        <w:rPr>
          <w:b/>
          <w:bCs/>
          <w:color w:val="000000"/>
          <w:rtl w:val="0"/>
          <w:lang w:val="id-ID" w:eastAsia="id-ID"/>
        </w:rPr>
        <w:t>1. Nhóm công ty được điều chỉnh mức thuế chống bán phá giá</w:t>
      </w:r>
      <w:bookmarkEnd w:id="16"/>
    </w:p>
    <w:p>
      <w:pPr>
        <w:bidi w:val="0"/>
        <w:spacing w:before="120" w:beforeAutospacing="0" w:after="280" w:afterAutospacing="1"/>
        <w:rPr>
          <w:rtl w:val="0"/>
        </w:rPr>
      </w:pPr>
      <w:r>
        <w:rPr>
          <w:color w:val="000000"/>
          <w:rtl w:val="0"/>
          <w:lang w:val="id-ID" w:eastAsia="id-ID"/>
        </w:rPr>
        <w:t>Nhóm công ty Jinxi và các công ty liên quan được điều chỉnh mức thuế chống bán phá giá (CBPG) theo kết quả rà soát lần thứ ba, cụ thể:</w:t>
      </w:r>
    </w:p>
    <w:p>
      <w:pPr>
        <w:bidi w:val="0"/>
        <w:spacing w:before="120" w:beforeAutospacing="0" w:after="280" w:afterAutospacing="1"/>
        <w:rPr>
          <w:rtl w:val="0"/>
        </w:rPr>
      </w:pPr>
      <w:r>
        <w:rPr>
          <w:color w:val="000000"/>
          <w:rtl w:val="0"/>
          <w:lang w:val="id-ID" w:eastAsia="id-ID"/>
        </w:rPr>
        <w:t xml:space="preserve">- Các công ty sản xuất, xuất khẩu và công ty thương mại liên quan thuộc nhóm này có số thứ tự </w:t>
      </w:r>
      <w:r>
        <w:rPr>
          <w:b/>
          <w:bCs/>
          <w:color w:val="000000"/>
          <w:rtl w:val="0"/>
          <w:lang w:val="id-ID" w:eastAsia="id-ID"/>
        </w:rPr>
        <w:t>01</w:t>
      </w:r>
      <w:r>
        <w:rPr>
          <w:color w:val="000000"/>
          <w:rtl w:val="0"/>
          <w:lang w:val="id-ID" w:eastAsia="id-ID"/>
        </w:rPr>
        <w:t xml:space="preserve"> tại </w:t>
      </w:r>
      <w:bookmarkStart w:id="17" w:name="dc_1"/>
      <w:r>
        <w:rPr>
          <w:color w:val="000000"/>
          <w:rtl w:val="0"/>
          <w:lang w:val="id-ID" w:eastAsia="id-ID"/>
        </w:rPr>
        <w:t>Mục 3 (Mức thuế và danh sách các công ty bị áp dụng thuế chống bán phá giá) của Thông báo ban hành kèm theo Quyết định số 1640/QĐ-BCT ngày 19 tháng 8 năm 2022</w:t>
      </w:r>
      <w:bookmarkEnd w:id="17"/>
      <w:r>
        <w:rPr>
          <w:color w:val="000000"/>
          <w:rtl w:val="0"/>
          <w:lang w:val="id-ID" w:eastAsia="id-ID"/>
        </w:rPr>
        <w:t xml:space="preserve"> của Bộ trưởng Bộ Công Thương về kết quả rà soát cuối kỳ việc áp dụng biện pháp chống bán phá giá đối với một số sản phẩm thép hình chữ H xuất xứ từ Cộng hòa nhân dân Trung Hoa.</w:t>
      </w:r>
    </w:p>
    <w:p>
      <w:pPr>
        <w:bidi w:val="0"/>
        <w:spacing w:before="120" w:beforeAutospacing="0" w:after="280" w:afterAutospacing="1"/>
        <w:rPr>
          <w:rtl w:val="0"/>
        </w:rPr>
      </w:pPr>
      <w:bookmarkStart w:id="18" w:name="dieu_2_1"/>
      <w:r>
        <w:rPr>
          <w:b/>
          <w:bCs/>
          <w:color w:val="000000"/>
          <w:rtl w:val="0"/>
          <w:lang w:val="id-ID" w:eastAsia="id-ID"/>
        </w:rPr>
        <w:t>2. Mức thuế chống bán phá giá theo kết quả rà soát</w:t>
      </w:r>
      <w:bookmarkEnd w:id="18"/>
    </w:p>
    <w:p>
      <w:pPr>
        <w:bidi w:val="0"/>
        <w:spacing w:before="120" w:beforeAutospacing="0" w:after="280" w:afterAutospacing="1"/>
        <w:rPr>
          <w:rtl w:val="0"/>
        </w:rPr>
      </w:pPr>
      <w:r>
        <w:rPr>
          <w:color w:val="000000"/>
          <w:rtl w:val="0"/>
          <w:lang w:val="id-ID" w:eastAsia="id-ID"/>
        </w:rPr>
        <w:t>Đối với nhóm công ty Jinxi được mô tả tại Mục 1 của Thông báo này, thông tin cụ thể về tên tổ chức, cá nhân sản xuất, xuất khẩu và công ty thương mại liên quan và mức thuế CBPG áp dụng như sau:</w:t>
      </w:r>
    </w:p>
    <w:tbl>
      <w:tblPr>
        <w:tblW w:w="5000" w:type="pct"/>
        <w:jc w:val="left"/>
        <w:tblCellMar>
          <w:top w:w="0" w:type="dxa"/>
          <w:left w:w="0" w:type="dxa"/>
          <w:bottom w:w="0" w:type="dxa"/>
          <w:right w:w="0" w:type="dxa"/>
        </w:tblCellMar>
      </w:tblPr>
      <w:tblGrid>
        <w:gridCol w:w="646"/>
        <w:gridCol w:w="2824"/>
        <w:gridCol w:w="3472"/>
        <w:gridCol w:w="1699"/>
      </w:tblGrid>
      <w:tr>
        <w:tblPrEx>
          <w:tblW w:w="5000" w:type="pct"/>
          <w:jc w:val="left"/>
          <w:tblCellMar>
            <w:top w:w="0" w:type="dxa"/>
            <w:left w:w="0" w:type="dxa"/>
            <w:bottom w:w="0" w:type="dxa"/>
            <w:right w:w="0" w:type="dxa"/>
          </w:tblCellMar>
        </w:tblPrEx>
        <w:trPr>
          <w:jc w:val="left"/>
        </w:trPr>
        <w:tc>
          <w:tcPr>
            <w:tcW w:w="37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lang w:val="id-ID" w:eastAsia="id-ID"/>
              </w:rPr>
              <w:t>STT</w:t>
            </w:r>
          </w:p>
        </w:tc>
        <w:tc>
          <w:tcPr>
            <w:tcW w:w="16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lang w:val="id-ID" w:eastAsia="id-ID"/>
              </w:rPr>
              <w:t>Cột 1</w:t>
            </w:r>
          </w:p>
        </w:tc>
        <w:tc>
          <w:tcPr>
            <w:tcW w:w="200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lang w:val="id-ID" w:eastAsia="id-ID"/>
              </w:rPr>
              <w:t>Cột 2</w:t>
            </w:r>
          </w:p>
        </w:tc>
        <w:tc>
          <w:tcPr>
            <w:tcW w:w="9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lang w:val="id-ID" w:eastAsia="id-ID"/>
              </w:rPr>
              <w:t>Cột 3</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16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lang w:val="id-ID" w:eastAsia="id-ID"/>
              </w:rPr>
              <w:t>Tên cá nhân, tổ chức sản xuất, xuất khẩu</w:t>
            </w:r>
          </w:p>
        </w:tc>
        <w:tc>
          <w:tcPr>
            <w:tcW w:w="20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lang w:val="id-ID" w:eastAsia="id-ID"/>
              </w:rPr>
              <w:t>Tên công ty thương mại liên quan</w:t>
            </w:r>
          </w:p>
        </w:tc>
        <w:tc>
          <w:tcPr>
            <w:tcW w:w="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lang w:val="id-ID" w:eastAsia="id-ID"/>
              </w:rPr>
              <w:t>Mức thuế chống bán phá giá</w:t>
            </w:r>
          </w:p>
        </w:tc>
      </w:tr>
      <w:tr>
        <w:tblPrEx>
          <w:tblW w:w="5000" w:type="pct"/>
          <w:jc w:val="left"/>
          <w:tblCellMar>
            <w:top w:w="0" w:type="dxa"/>
            <w:left w:w="0" w:type="dxa"/>
            <w:bottom w:w="0" w:type="dxa"/>
            <w:right w:w="0" w:type="dxa"/>
          </w:tblCellMar>
        </w:tblPrEx>
        <w:trPr>
          <w:jc w:val="left"/>
        </w:trPr>
        <w:tc>
          <w:tcPr>
            <w:tcW w:w="37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lang w:val="id-ID" w:eastAsia="id-ID"/>
              </w:rPr>
              <w:t>1</w:t>
            </w:r>
          </w:p>
        </w:tc>
        <w:tc>
          <w:tcPr>
            <w:tcW w:w="16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lang w:val="id-ID" w:eastAsia="id-ID"/>
              </w:rPr>
              <w:t>Hebei Jinxi Section Steel Co., Ltd.</w:t>
            </w:r>
          </w:p>
        </w:tc>
        <w:tc>
          <w:tcPr>
            <w:tcW w:w="20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rPr>
                <w:rtl w:val="0"/>
              </w:rPr>
            </w:pPr>
            <w:r>
              <w:rPr>
                <w:color w:val="000000"/>
                <w:rtl w:val="0"/>
                <w:lang w:val="id-ID" w:eastAsia="id-ID"/>
              </w:rPr>
              <w:t>1. Hebei Jinxi International Trade Co., Ltd.</w:t>
            </w:r>
          </w:p>
          <w:p>
            <w:pPr>
              <w:bidi w:val="0"/>
              <w:spacing w:before="120" w:beforeAutospacing="0" w:after="280" w:afterAutospacing="1"/>
              <w:rPr>
                <w:rtl w:val="0"/>
              </w:rPr>
            </w:pPr>
            <w:r>
              <w:rPr>
                <w:color w:val="000000"/>
                <w:rtl w:val="0"/>
                <w:lang w:val="id-ID" w:eastAsia="id-ID"/>
              </w:rPr>
              <w:t>2. Hebei Jinxi Iron and Steel Group Co., Ltd.</w:t>
            </w:r>
          </w:p>
          <w:p>
            <w:pPr>
              <w:bidi w:val="0"/>
              <w:spacing w:before="120" w:beforeAutospacing="0" w:after="280" w:afterAutospacing="1"/>
              <w:rPr>
                <w:rtl w:val="0"/>
              </w:rPr>
            </w:pPr>
            <w:r>
              <w:rPr>
                <w:color w:val="000000"/>
                <w:rtl w:val="0"/>
                <w:lang w:val="id-ID" w:eastAsia="id-ID"/>
              </w:rPr>
              <w:t>3. Tianjin New Asia Prosperity Proprietary Limited.</w:t>
            </w:r>
          </w:p>
          <w:p>
            <w:pPr>
              <w:bidi w:val="0"/>
              <w:spacing w:before="120" w:beforeAutospacing="0" w:after="280" w:afterAutospacing="1"/>
              <w:rPr>
                <w:rtl w:val="0"/>
              </w:rPr>
            </w:pPr>
            <w:r>
              <w:rPr>
                <w:color w:val="000000"/>
                <w:rtl w:val="0"/>
                <w:lang w:val="id-ID" w:eastAsia="id-ID"/>
              </w:rPr>
              <w:t>4. China Oriental Singapore Pte Ltd.</w:t>
            </w:r>
          </w:p>
          <w:p>
            <w:pPr>
              <w:bidi w:val="0"/>
              <w:spacing w:before="120" w:beforeAutospacing="0" w:after="0" w:afterAutospacing="0"/>
              <w:rPr>
                <w:rtl w:val="0"/>
              </w:rPr>
            </w:pPr>
            <w:r>
              <w:rPr>
                <w:color w:val="000000"/>
                <w:rtl w:val="0"/>
                <w:lang w:val="id-ID" w:eastAsia="id-ID"/>
              </w:rPr>
              <w:t>5. Qianxi Kaijia Trade Company Limited</w:t>
            </w:r>
          </w:p>
        </w:tc>
        <w:tc>
          <w:tcPr>
            <w:tcW w:w="9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lang w:val="id-ID" w:eastAsia="id-ID"/>
              </w:rPr>
              <w:t>6,78%</w:t>
            </w:r>
          </w:p>
        </w:tc>
      </w:tr>
    </w:tbl>
    <w:p>
      <w:pPr>
        <w:bidi w:val="0"/>
        <w:spacing w:before="120" w:beforeAutospacing="0" w:after="280" w:afterAutospacing="1"/>
        <w:rPr>
          <w:rtl w:val="0"/>
        </w:rPr>
      </w:pPr>
      <w:bookmarkStart w:id="19" w:name="dieu_3_1"/>
      <w:r>
        <w:rPr>
          <w:b/>
          <w:bCs/>
          <w:color w:val="000000"/>
          <w:rtl w:val="0"/>
          <w:lang w:val="id-ID" w:eastAsia="id-ID"/>
        </w:rPr>
        <w:t>3. Thời hạn áp dụng biện pháp chống bán phá giá</w:t>
      </w:r>
      <w:bookmarkEnd w:id="19"/>
    </w:p>
    <w:p>
      <w:pPr>
        <w:bidi w:val="0"/>
        <w:spacing w:before="120" w:beforeAutospacing="0" w:after="280" w:afterAutospacing="1"/>
        <w:rPr>
          <w:rtl w:val="0"/>
        </w:rPr>
      </w:pPr>
      <w:r>
        <w:rPr>
          <w:color w:val="000000"/>
          <w:rtl w:val="0"/>
          <w:lang w:val="id-ID" w:eastAsia="id-ID"/>
        </w:rPr>
        <w:t>Mức thuế CBPG tại Mục 2 của Thông báo này sẽ được áp dụng từ ngày có hiệu lực của Quyết định về kết quả rà soát lần thứ ba việc áp dụng biện pháp chống bán phá giá một số sản phẩm thép hình chữ H có xuất xứ từ Cộng hòa nhân dân Trung Hoa đến hết ngày 05 tháng 9 năm 2027 (trừ trường hợp được thay đổi, gia hạn theo Quyết định khác của Bộ Công Thương căn cứ trên kết quả rà soát việc áp dụng biện pháp CBPG theo quy định của pháp luật).</w:t>
      </w:r>
    </w:p>
    <w:p>
      <w:pPr>
        <w:bidi w:val="0"/>
        <w:spacing w:before="120" w:beforeAutospacing="0" w:after="280" w:afterAutospacing="1"/>
        <w:rPr>
          <w:rtl w:val="0"/>
        </w:rPr>
      </w:pPr>
      <w:bookmarkStart w:id="20" w:name="dieu_4_1"/>
      <w:r>
        <w:rPr>
          <w:b/>
          <w:bCs/>
          <w:color w:val="000000"/>
          <w:rtl w:val="0"/>
          <w:lang w:val="id-ID" w:eastAsia="id-ID"/>
        </w:rPr>
        <w:t>4. Các nội dung khác</w:t>
      </w:r>
      <w:bookmarkEnd w:id="20"/>
    </w:p>
    <w:p>
      <w:pPr>
        <w:bidi w:val="0"/>
        <w:spacing w:before="120" w:beforeAutospacing="0" w:after="280" w:afterAutospacing="1"/>
        <w:rPr>
          <w:rtl w:val="0"/>
        </w:rPr>
      </w:pPr>
      <w:r>
        <w:rPr>
          <w:color w:val="000000"/>
          <w:rtl w:val="0"/>
          <w:lang w:val="id-ID" w:eastAsia="id-ID"/>
        </w:rPr>
        <w:t>Các nội dung về mô tả hàng hóa bị áp dụng biện pháp chống bán phá giá, mức thuế CBPG của các nhóm công ty khác từ Cộng hòa nhân dân Trung Hoa, thủ tục, hồ sơ kiểm tra và áp dụng biện pháp chống bán phá giá thực hiện theo Quyết định số 1640/QĐ-BCT ngày 19 tháng 8 năm 2022 của Bộ trưởng Bộ Công Thương về kết quả rà soát cuối kỳ việc áp dụng biện pháp chống bán phá giá đối với một số sản phẩm thép hình chữ H xuất xứ từ Cộng hòa nhân dân Trung Hoa.</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