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144/2024/NĐ-CP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01 tháng 11 năm 2024</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SỬA ĐỔI, BỔ SUNG MỘT SỐ ĐIỀU CỦA NGHỊ ĐỊNH SỐ 26/2023/NĐ-CP NGÀY 31 THÁNG 5 NĂM 2023 CỦA CHÍNH PHỦ VỀ BIỂU THUẾ XUẤT KHẨU, BIỂU THUẾ NHẬP KHẨU ƯU ĐÃI, DANH MỤC HÀNG HÓA VÀ MỨC THUẾ TUYỆT ĐỐI, THUẾ HỖN HỢP, THUẾ NHẬP KHẨU NGOÀI HẠN NGẠCH THUẾ QUAN</w:t>
      </w:r>
      <w:bookmarkEnd w:id="1"/>
    </w:p>
    <w:p>
      <w:pPr>
        <w:bidi w:val="0"/>
        <w:spacing w:before="120" w:beforeAutospacing="0" w:after="280" w:afterAutospacing="1"/>
      </w:pPr>
      <w:r>
        <w:rPr>
          <w:i/>
          <w:iCs/>
          <w:rtl w:val="0"/>
        </w:rPr>
        <w:t xml:space="preserve">Căn cứ </w:t>
      </w:r>
      <w:bookmarkStart w:id="2" w:name="tvpllink_jofmpsyqcp"/>
      <w:r>
        <w:rPr>
          <w:i/>
          <w:iCs/>
          <w:rtl w:val="0"/>
        </w:rPr>
        <w:t>Luật Tổ chức Chính phủ</w:t>
      </w:r>
      <w:bookmarkEnd w:id="2"/>
      <w:r>
        <w:rPr>
          <w:i/>
          <w:iCs/>
          <w:rtl w:val="0"/>
        </w:rPr>
        <w:t xml:space="preserve"> ngày 19 tháng 6 năm 2015; </w:t>
      </w:r>
      <w:bookmarkStart w:id="3" w:name="tvpllink_cdgudmonqm"/>
      <w:r>
        <w:rPr>
          <w:i/>
          <w:iCs/>
          <w:rtl w:val="0"/>
        </w:rPr>
        <w:t>Luật sửa đổi, bổ sung một số điều của Luật Tổ chức Chính phủ và Luật Tổ chức chính quyền địa phương</w:t>
      </w:r>
      <w:bookmarkEnd w:id="3"/>
      <w:r>
        <w:rPr>
          <w:i/>
          <w:iCs/>
          <w:rtl w:val="0"/>
        </w:rPr>
        <w:t xml:space="preserve"> ngày 22 tháng 11 năm 2019;</w:t>
      </w:r>
    </w:p>
    <w:p>
      <w:pPr>
        <w:bidi w:val="0"/>
        <w:spacing w:before="120" w:beforeAutospacing="0" w:after="280" w:afterAutospacing="1"/>
      </w:pPr>
      <w:r>
        <w:rPr>
          <w:i/>
          <w:iCs/>
          <w:rtl w:val="0"/>
        </w:rPr>
        <w:t xml:space="preserve">Căn cứ </w:t>
      </w:r>
      <w:bookmarkStart w:id="4" w:name="tvpllink_hadubejmqv"/>
      <w:r>
        <w:rPr>
          <w:i/>
          <w:iCs/>
          <w:rtl w:val="0"/>
        </w:rPr>
        <w:t>Luật Thuế xuất khẩu, thuế nhập khẩu</w:t>
      </w:r>
      <w:bookmarkEnd w:id="4"/>
      <w:r>
        <w:rPr>
          <w:i/>
          <w:iCs/>
          <w:rtl w:val="0"/>
        </w:rPr>
        <w:t xml:space="preserve"> ngày 06 tháng 4 năm 2016;</w:t>
      </w:r>
    </w:p>
    <w:p>
      <w:pPr>
        <w:bidi w:val="0"/>
        <w:spacing w:before="120" w:beforeAutospacing="0" w:after="280" w:afterAutospacing="1"/>
      </w:pPr>
      <w:r>
        <w:rPr>
          <w:i/>
          <w:iCs/>
          <w:rtl w:val="0"/>
        </w:rPr>
        <w:t xml:space="preserve">Căn cứ </w:t>
      </w:r>
      <w:bookmarkStart w:id="5" w:name="tvpllink_gtkyhfrola"/>
      <w:r>
        <w:rPr>
          <w:i/>
          <w:iCs/>
          <w:rtl w:val="0"/>
        </w:rPr>
        <w:t>Luật Quản lý thuế</w:t>
      </w:r>
      <w:bookmarkEnd w:id="5"/>
      <w:r>
        <w:rPr>
          <w:i/>
          <w:iCs/>
          <w:rtl w:val="0"/>
        </w:rPr>
        <w:t xml:space="preserve"> ngày 13 tháng 6 năm 2019;</w:t>
      </w:r>
    </w:p>
    <w:p>
      <w:pPr>
        <w:bidi w:val="0"/>
        <w:spacing w:before="120" w:beforeAutospacing="0" w:after="280" w:afterAutospacing="1"/>
      </w:pPr>
      <w:r>
        <w:rPr>
          <w:i/>
          <w:iCs/>
          <w:rtl w:val="0"/>
        </w:rPr>
        <w:t xml:space="preserve">Căn cứ </w:t>
      </w:r>
      <w:bookmarkStart w:id="6" w:name="tvpllink_jtbreqnlmk"/>
      <w:r>
        <w:rPr>
          <w:i/>
          <w:iCs/>
          <w:rtl w:val="0"/>
        </w:rPr>
        <w:t>Luật Hải quan</w:t>
      </w:r>
      <w:bookmarkEnd w:id="6"/>
      <w:r>
        <w:rPr>
          <w:i/>
          <w:iCs/>
          <w:rtl w:val="0"/>
        </w:rPr>
        <w:t xml:space="preserve"> ngày 23 tháng 6 năm 2014;</w:t>
      </w:r>
    </w:p>
    <w:p>
      <w:pPr>
        <w:bidi w:val="0"/>
        <w:spacing w:before="120" w:beforeAutospacing="0" w:after="280" w:afterAutospacing="1"/>
      </w:pPr>
      <w:r>
        <w:rPr>
          <w:i/>
          <w:iCs/>
          <w:rtl w:val="0"/>
        </w:rPr>
        <w:t xml:space="preserve">Căn cứ Nghị quyết số </w:t>
      </w:r>
      <w:bookmarkStart w:id="7" w:name="tvpllink_hsaqobfsem"/>
      <w:r>
        <w:rPr>
          <w:i/>
          <w:iCs/>
          <w:rtl w:val="0"/>
        </w:rPr>
        <w:t>71/2006/QH11</w:t>
      </w:r>
      <w:bookmarkEnd w:id="7"/>
      <w:r>
        <w:rPr>
          <w:i/>
          <w:iCs/>
          <w:rtl w:val="0"/>
        </w:rPr>
        <w:t xml:space="preserve"> ngày 29 tháng 11 năm 2006 của Quốc hội phê chuẩn Nghị định thư gia nhập Hiệp định thành lập Tổ chức thương mại thế giới của nước Cộng hòa xã hội chủ nghĩa Việt Nam;</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 xml:space="preserve">Chính phủ ban hành Nghị định sửa đổi, bổ sung một số điều của Nghị định số </w:t>
      </w:r>
      <w:bookmarkStart w:id="8" w:name="tvpllink_aneophtzwu"/>
      <w:r>
        <w:rPr>
          <w:i/>
          <w:iCs/>
          <w:rtl w:val="0"/>
        </w:rPr>
        <w:t>26/2023/NĐ-CP</w:t>
      </w:r>
      <w:bookmarkEnd w:id="8"/>
      <w:r>
        <w:rPr>
          <w:i/>
          <w:iCs/>
          <w:rtl w:val="0"/>
        </w:rPr>
        <w:t xml:space="preserve"> ngày 31 tháng 5 năm 2023 của Chính phủ về Biểu thuế xuất khẩu, Biểu thuế nhập khẩu ưu đãi, Danh mục hàng hóa và mức thuế tuyệt đối, thuế hỗn hợp, thuế nhập khẩu ngoài hạn ngạch thuế quan.</w:t>
      </w:r>
    </w:p>
    <w:p>
      <w:pPr>
        <w:bidi w:val="0"/>
        <w:spacing w:before="120" w:beforeAutospacing="0" w:after="280" w:afterAutospacing="1"/>
      </w:pPr>
      <w:bookmarkStart w:id="9" w:name="dieu_1"/>
      <w:r>
        <w:rPr>
          <w:b/>
          <w:bCs/>
          <w:rtl w:val="0"/>
        </w:rPr>
        <w:t>Điều 1. Sửa đổi mức thuế suất thuế xuất khẩu, mức thuế suất thuế nhập khẩu ưu đãi đối với một số mặt hàng quy định tại Phụ lục I - Biểu thuế xuất khẩu, Phụ lục II - Biểu thuế nhập khẩu ưu đãi theo Danh mục mặt hàng chịu thuế quy định tại</w:t>
      </w:r>
      <w:bookmarkEnd w:id="9"/>
      <w:r>
        <w:rPr>
          <w:b/>
          <w:bCs/>
          <w:rtl w:val="0"/>
        </w:rPr>
        <w:t xml:space="preserve"> </w:t>
      </w:r>
      <w:bookmarkStart w:id="10" w:name="dc_1"/>
      <w:r>
        <w:rPr>
          <w:b/>
          <w:bCs/>
          <w:rtl w:val="0"/>
        </w:rPr>
        <w:t>Điều 3 Nghị định số 26/2023/NĐ-CP</w:t>
      </w:r>
      <w:bookmarkEnd w:id="10"/>
    </w:p>
    <w:p>
      <w:pPr>
        <w:bidi w:val="0"/>
        <w:spacing w:before="120" w:beforeAutospacing="0" w:after="280" w:afterAutospacing="1"/>
      </w:pPr>
      <w:r>
        <w:rPr>
          <w:rtl w:val="0"/>
        </w:rPr>
        <w:t xml:space="preserve">Sửa đổi mức thuế suất thuế xuất khẩu, mức thuế suất thuế nhập khẩu ưu đãi đối với một số mặt hàng quy định tại Phụ lục I - Biểu thuế xuất khẩu, Phụ lục II - Biểu thuế nhập khẩu ưu đãi theo Danh mục mặt hàng chịu thuế quy định tại </w:t>
      </w:r>
      <w:bookmarkStart w:id="11" w:name="dc_2"/>
      <w:r>
        <w:rPr>
          <w:rtl w:val="0"/>
        </w:rPr>
        <w:t>Điều 3 Nghị định số 26/2023/NĐ-CP</w:t>
      </w:r>
      <w:bookmarkEnd w:id="11"/>
      <w:r>
        <w:rPr>
          <w:rtl w:val="0"/>
        </w:rPr>
        <w:t xml:space="preserve"> ngày 31 tháng 5 năm 2023 của Chính phủ thành các mức thuế suất thuế xuất khẩu, mức thuế suất thuế nhập khẩu ưu đãi mới quy định tại Phụ lục I và Phụ lục II ban hành kèm theo Nghị định này.</w:t>
      </w:r>
    </w:p>
    <w:p>
      <w:pPr>
        <w:bidi w:val="0"/>
        <w:spacing w:before="120" w:beforeAutospacing="0" w:after="280" w:afterAutospacing="1"/>
      </w:pPr>
      <w:bookmarkStart w:id="12" w:name="dieu_2"/>
      <w:r>
        <w:rPr>
          <w:b/>
          <w:bCs/>
          <w:rtl w:val="0"/>
        </w:rPr>
        <w:t>Điều 2. Điều khoản thi hành và tổ chức thực hiện</w:t>
      </w:r>
      <w:bookmarkEnd w:id="12"/>
    </w:p>
    <w:p>
      <w:pPr>
        <w:bidi w:val="0"/>
        <w:spacing w:before="120" w:beforeAutospacing="0" w:after="280" w:afterAutospacing="1"/>
      </w:pPr>
      <w:r>
        <w:rPr>
          <w:rtl w:val="0"/>
        </w:rPr>
        <w:t>1. Nghị định này có hiệu lực từ ngày 16 tháng 12 năm 2024.</w:t>
      </w:r>
    </w:p>
    <w:p>
      <w:pPr>
        <w:bidi w:val="0"/>
        <w:spacing w:before="120" w:beforeAutospacing="0" w:after="280" w:afterAutospacing="1"/>
      </w:pPr>
      <w:r>
        <w:rPr>
          <w:rtl w:val="0"/>
        </w:rPr>
        <w:t>2. Thuế suất thuế nhập khẩu ưu đãi của các mặt hàng thuộc nhóm 24.04, các mặt hàng có mã HS 8543.40.00 thuộc Phụ lục II Biểu thuế nhập khẩu ưu đãi theo Danh mục mặt hàng chịu thuế ban hành kèm theo Nghị định này được áp dụng trong trường hợp các mặt hàng này được phép nhập khẩu vào Việt Nam theo quy định của pháp luật.</w:t>
      </w:r>
    </w:p>
    <w:p>
      <w:pPr>
        <w:bidi w:val="0"/>
        <w:spacing w:before="120" w:beforeAutospacing="0" w:after="280" w:afterAutospacing="1"/>
      </w:pPr>
      <w:r>
        <w:rPr>
          <w:rtl w:val="0"/>
        </w:rPr>
        <w:t>3.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653"/>
        <w:gridCol w:w="3987"/>
      </w:tblGrid>
      <w:tr>
        <w:tblPrEx>
          <w:jc w:val="left"/>
          <w:tblCellMar>
            <w:top w:w="0" w:type="dxa"/>
            <w:left w:w="0" w:type="dxa"/>
            <w:bottom w:w="0" w:type="dxa"/>
            <w:right w:w="0" w:type="dxa"/>
          </w:tblCellMar>
        </w:tblPrEx>
        <w:trPr>
          <w:jc w:val="left"/>
        </w:trPr>
        <w:tc>
          <w:tcPr>
            <w:tcW w:w="48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KTTH (03b).</w:t>
            </w:r>
          </w:p>
        </w:tc>
        <w:tc>
          <w:tcPr>
            <w:tcW w:w="40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lang w:val="fr-FR" w:eastAsia="fr-FR"/>
              </w:rPr>
              <w:br/>
            </w:r>
            <w:r>
              <w:rPr>
                <w:b/>
                <w:bCs/>
                <w:rtl w:val="0"/>
                <w:lang w:val="fr-FR" w:eastAsia="fr-FR"/>
              </w:rPr>
              <w:t>KT. THỦ TƯỚNG</w:t>
            </w:r>
            <w:r>
              <w:rPr>
                <w:b/>
                <w:bCs/>
                <w:rtl w:val="0"/>
                <w:lang w:val="fr-FR" w:eastAsia="fr-FR"/>
              </w:rPr>
              <w:br/>
            </w:r>
            <w:r>
              <w:rPr>
                <w:b/>
                <w:bCs/>
                <w:rtl w:val="0"/>
                <w:lang w:val="fr-FR" w:eastAsia="fr-FR"/>
              </w:rPr>
              <w:t>PHÓ THỦ TƯỚNG</w:t>
            </w:r>
            <w:r>
              <w:rPr>
                <w:b/>
                <w:bCs/>
                <w:rtl w:val="0"/>
                <w:lang w:val="fr-FR" w:eastAsia="fr-FR"/>
              </w:rPr>
              <w:br/>
            </w:r>
            <w:r>
              <w:rPr>
                <w:b/>
                <w:bCs/>
                <w:rtl w:val="0"/>
                <w:lang w:val="fr-FR" w:eastAsia="fr-FR"/>
              </w:rPr>
              <w:br/>
            </w:r>
            <w:r>
              <w:rPr>
                <w:b/>
                <w:bCs/>
                <w:rtl w:val="0"/>
                <w:lang w:val="fr-FR" w:eastAsia="fr-FR"/>
              </w:rPr>
              <w:br/>
            </w:r>
            <w:r>
              <w:rPr>
                <w:b/>
                <w:bCs/>
                <w:rtl w:val="0"/>
                <w:lang w:val="fr-FR" w:eastAsia="fr-FR"/>
              </w:rPr>
              <w:br/>
            </w:r>
            <w:r>
              <w:rPr>
                <w:b/>
                <w:bCs/>
                <w:rtl w:val="0"/>
                <w:lang w:val="fr-FR" w:eastAsia="fr-FR"/>
              </w:rPr>
              <w:br/>
            </w:r>
            <w:r>
              <w:rPr>
                <w:b/>
                <w:bCs/>
                <w:rtl w:val="0"/>
                <w:lang w:val="fr-FR" w:eastAsia="fr-FR"/>
              </w:rPr>
              <w:t>Hồ Đức Phớc</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13" w:name="chuong_pl_1"/>
      <w:r>
        <w:rPr>
          <w:b/>
          <w:bCs/>
          <w:sz w:val="24"/>
          <w:rtl w:val="0"/>
        </w:rPr>
        <w:t>PHỤ LỤC I</w:t>
      </w:r>
      <w:bookmarkEnd w:id="13"/>
    </w:p>
    <w:p>
      <w:pPr>
        <w:bidi w:val="0"/>
        <w:spacing w:before="120" w:beforeAutospacing="0" w:after="280" w:afterAutospacing="1"/>
        <w:jc w:val="center"/>
      </w:pPr>
      <w:bookmarkStart w:id="14" w:name="chuong_pl_1_name"/>
      <w:r>
        <w:rPr>
          <w:rtl w:val="0"/>
        </w:rPr>
        <w:t>BIỂU THUẾ XUẤT KHẨU THEO DANH MỤC MẶT HÀNG CHỊU THUẾ</w:t>
      </w:r>
      <w:bookmarkEnd w:id="14"/>
      <w:r>
        <w:rPr>
          <w:rtl w:val="0"/>
        </w:rPr>
        <w:br/>
      </w:r>
      <w:r>
        <w:rPr>
          <w:i/>
          <w:iCs/>
          <w:rtl w:val="0"/>
        </w:rPr>
        <w:t>(Kèm theo Nghị định số 144/2024/NĐ-CP ngày 01 tháng 11 năm 2024 của Chính phủ)</w:t>
      </w:r>
    </w:p>
    <w:tbl>
      <w:tblPr>
        <w:tblW w:w="5000" w:type="pct"/>
        <w:jc w:val="left"/>
        <w:tblCellMar>
          <w:top w:w="0" w:type="dxa"/>
          <w:left w:w="0" w:type="dxa"/>
          <w:bottom w:w="0" w:type="dxa"/>
          <w:right w:w="0" w:type="dxa"/>
        </w:tblCellMar>
      </w:tblPr>
      <w:tblGrid>
        <w:gridCol w:w="662"/>
        <w:gridCol w:w="1669"/>
        <w:gridCol w:w="4894"/>
        <w:gridCol w:w="1415"/>
      </w:tblGrid>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Thuế suất (%)</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86</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31.02</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Phân khoáng hoặc phân hóa học, có chứa nitơ.</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3102.10.00</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Urê, có hoặc không ở trong dung dịch nước</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Amoni sulphat; muối kép và hỗn hợp của amoni sulphat và amoni nitrat:</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3102.21.00</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Amoni sulphat</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3102.29.00</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3102.30.00</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Amoni nitrat, có hoặc không ở trong dung dịch nước:</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3102.30.00.10</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Amoni nitrat có hàm lượng NH</w:t>
            </w:r>
            <w:r>
              <w:rPr>
                <w:vertAlign w:val="subscript"/>
                <w:rtl w:val="0"/>
              </w:rPr>
              <w:t>4</w:t>
            </w:r>
            <w:r>
              <w:rPr>
                <w:rtl w:val="0"/>
              </w:rPr>
              <w:t>NO</w:t>
            </w:r>
            <w:r>
              <w:rPr>
                <w:vertAlign w:val="subscript"/>
                <w:rtl w:val="0"/>
              </w:rPr>
              <w:t>3</w:t>
            </w:r>
            <w:r>
              <w:rPr>
                <w:rtl w:val="0"/>
              </w:rPr>
              <w:t xml:space="preserve"> ≥ 98,5%</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3102.30.00.90</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3102.40.00</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Hỗn hợp của amoni nitrat với canxi carbonat hoặc các chất vô cơ khác không phải phân bón</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3102.50.00</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Natri nitrat</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3102.60.00</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Muối kép và hỗn hợp của canxi nitrat và amoni nitrat</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3102.80.00</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Hỗn hợp urê và amoni nitrat ở trong dung dịch nước hoặc dung dịch amoniac</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3102.90.00</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Loại khác, kể cả hỗn hợp chưa được chi tiết trong các phân nhóm trước</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188</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79.01</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Kẽm chưa gia công.</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Kẽm, không hợp kim:</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7901.11.00</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Có hàm lượng kẽm từ 99,99% trở lên tính theo khối lượng</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7901.12.00</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Có hàm lượng kẽm dưới 99,99% tính theo khối lượng</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7901.20.00</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Hợp kim kẽm</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194</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80.01</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Thiếc chưa gia công.</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8001.10.00</w:t>
            </w:r>
          </w:p>
        </w:tc>
        <w:tc>
          <w:tcPr>
            <w:tcW w:w="283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Thiếc, không hợp kim</w:t>
            </w:r>
          </w:p>
        </w:tc>
        <w:tc>
          <w:tcPr>
            <w:tcW w:w="8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6"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8001.20.00</w:t>
            </w:r>
          </w:p>
        </w:tc>
        <w:tc>
          <w:tcPr>
            <w:tcW w:w="2832"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Hợp kim thiếc</w:t>
            </w:r>
          </w:p>
        </w:tc>
        <w:tc>
          <w:tcPr>
            <w:tcW w:w="819"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15" w:name="chuong_pl_2"/>
      <w:r>
        <w:rPr>
          <w:b/>
          <w:bCs/>
          <w:sz w:val="24"/>
          <w:rtl w:val="0"/>
        </w:rPr>
        <w:t>PHỤ LỤC II</w:t>
      </w:r>
      <w:bookmarkEnd w:id="15"/>
    </w:p>
    <w:p>
      <w:pPr>
        <w:bidi w:val="0"/>
        <w:spacing w:before="120" w:beforeAutospacing="0" w:after="280" w:afterAutospacing="1"/>
        <w:jc w:val="center"/>
      </w:pPr>
      <w:bookmarkStart w:id="16" w:name="chuong_pl_2_name"/>
      <w:r>
        <w:rPr>
          <w:rtl w:val="0"/>
        </w:rPr>
        <w:t>BIỂU THUẾ NHẬP KHẨU ƯU ĐÃI THEO DANH MỤC MẶT HÀNG CHỊU THUẾ</w:t>
      </w:r>
      <w:bookmarkEnd w:id="16"/>
      <w:r>
        <w:rPr>
          <w:rtl w:val="0"/>
        </w:rPr>
        <w:br/>
      </w:r>
      <w:r>
        <w:rPr>
          <w:i/>
          <w:iCs/>
          <w:rtl w:val="0"/>
        </w:rPr>
        <w:t>(Kèm theo Nghị định số 144/2024/NĐ-CP ngày 01 tháng 11 năm 2024 của Chính phủ)</w:t>
      </w:r>
    </w:p>
    <w:p>
      <w:pPr>
        <w:bidi w:val="0"/>
        <w:spacing w:before="120" w:beforeAutospacing="0" w:after="280" w:afterAutospacing="1"/>
        <w:jc w:val="center"/>
      </w:pPr>
      <w:bookmarkStart w:id="17" w:name="muc_1_pl"/>
      <w:r>
        <w:rPr>
          <w:b/>
          <w:bCs/>
          <w:rtl w:val="0"/>
        </w:rPr>
        <w:t>Mục I</w:t>
      </w:r>
      <w:bookmarkEnd w:id="17"/>
    </w:p>
    <w:p>
      <w:pPr>
        <w:bidi w:val="0"/>
        <w:spacing w:before="120" w:beforeAutospacing="0" w:after="280" w:afterAutospacing="1"/>
        <w:jc w:val="center"/>
      </w:pPr>
      <w:bookmarkStart w:id="18" w:name="muc_1_pl_name"/>
      <w:r>
        <w:rPr>
          <w:b/>
          <w:bCs/>
          <w:rtl w:val="0"/>
        </w:rPr>
        <w:t>THUẾ SUẤT THUẾ NHẬP KHẨU ƯU ĐÃI ÁP DỤNG ĐỐI VỚI 97 CHƯƠNG THEO DANH MỤC HÀNG HÓA NHẬP KHẨU VIỆT NAM</w:t>
      </w:r>
      <w:bookmarkEnd w:id="18"/>
    </w:p>
    <w:tbl>
      <w:tblPr>
        <w:tblW w:w="5000" w:type="pct"/>
        <w:jc w:val="left"/>
        <w:tblCellMar>
          <w:top w:w="0" w:type="dxa"/>
          <w:left w:w="0" w:type="dxa"/>
          <w:bottom w:w="0" w:type="dxa"/>
          <w:right w:w="0" w:type="dxa"/>
        </w:tblCellMar>
      </w:tblPr>
      <w:tblGrid>
        <w:gridCol w:w="2198"/>
        <w:gridCol w:w="5372"/>
        <w:gridCol w:w="1070"/>
      </w:tblGrid>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r>
              <w:rPr>
                <w:b/>
                <w:bCs/>
                <w:rtl w:val="0"/>
              </w:rPr>
              <w:t>Thuế suất</w:t>
            </w:r>
          </w:p>
          <w:p>
            <w:pPr>
              <w:bidi w:val="0"/>
              <w:spacing w:before="120" w:beforeAutospacing="0" w:after="0" w:afterAutospacing="0"/>
              <w:jc w:val="center"/>
              <w:rPr>
                <w:rtl w:val="0"/>
              </w:rPr>
            </w:pPr>
            <w:r>
              <w:rPr>
                <w:b/>
                <w:bCs/>
                <w:rtl w:val="0"/>
              </w:rPr>
              <w:t>(%)</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23.04</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Khô dầu và phế liệu rắn khác, đã hoặc chưa xay hoặc ở dạng viên, thu được từ quá trình chiết xuất dầu đậu tương.</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2304.00.10</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Bột đậu tương đã được khử chất béo, thích hợp dùng làm thức ăn cho người</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Bột đậu tương thô:</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2304.00.21</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Thích hợp dùng làm thức ăn cho người</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2304.00.29</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2304.00.90</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Loại khác</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24.04</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Sản phẩm chứa lá thuốc lá, thuốc lá hoàn nguyên, nicotin, hoặc các nguyên liệu thay thế lá thuốc lá hoặc các nguyên liệu thay thế nicotin, dùng để hút mà không cần đốt cháy; các sản phẩm chứa nicotin khác dùng để nạp nicotin vào cơ thể con người.</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Các sản phẩm dùng để hút mà không cần đốt cháy:</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2404.11.00</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Chứa lá thuốc lá hoặc thuốc lá hoàn nguyên</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2404.12</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 chứa nicotin:</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2404.12.10</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Dạng lỏng hoặc gel dùng cho thuốc lá điện tử</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2404.12.90</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2404.19</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2404.19.10</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Chứa các nguyên liệu thay thế lá thuốc lá</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2404.19.20</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Chứa các nguyên liệu thay thế nicotin</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Loại khác:</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2404.91</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dùng qua đường miệng:</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2404.91.10</w:t>
            </w:r>
          </w:p>
        </w:tc>
        <w:tc>
          <w:tcPr>
            <w:tcW w:w="310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Kẹo cao su có nicotin</w:t>
            </w:r>
          </w:p>
        </w:tc>
        <w:tc>
          <w:tcPr>
            <w:tcW w:w="619"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1272"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2404.91.90</w:t>
            </w:r>
          </w:p>
        </w:tc>
        <w:tc>
          <w:tcPr>
            <w:tcW w:w="3109"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2404.92</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thẩm thấu qua da:</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lang w:val="fr-FR" w:eastAsia="fr-FR"/>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2404.92.10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Miếng dán nicotin</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2404.92.90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2404.99.00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85.43</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Máy và thiết bị điện, có chức năng riêng, chưa được chi tiết hoặc ghi ở nơi khác trong Chương này.</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8543.10.00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Máy gia tốc hạt</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8543.20.00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Máy phát tín hiệu</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8543.30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Máy và thiết bị dùng trong mạ điện, điện phân hoặc điện di:</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8543.30.20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Thiết bị xử lý ướt bằng phương pháp nhúng trong dung dịch hoá chất hoặc điện hoá, để tách hoặc không tách vật liệu gia công trên nền (tấm đế) của bản mạch PCB/PWBs</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8543.30.91</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mạ điện và điện phân chỉ dùng hoặc chủ yếu dùng để sản xuất mạch in</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8543.30.99</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8543.40.00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Thiết bị điện tử dùng cho thuốc lá điện tử và các thiết bị điện hóa hơi cá nhân tương tự</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8543.70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Máy và thiết bị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8543.70.10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cung cấp năng lượng cho hàng rào điện</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ml:space="preserve">- - Thiết bị điều khiển từ xa, trừ thiết bị điều khiển từ xa </w:t>
            </w:r>
            <w:r>
              <w:rPr>
                <w:color w:val="FF0000"/>
                <w:rtl w:val="0"/>
              </w:rPr>
              <w:t>bằng</w:t>
            </w:r>
            <w:r>
              <w:rPr>
                <w:rtl w:val="0"/>
              </w:rPr>
              <w:t xml:space="preserve"> sóng radio:</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8543.70.21</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Thiết bị điều khiển từ xa hồng ngoại không dây dùng cho máy chơi trò chơi điện tử video, trừ bộ điều khiển trò chơi thuộc nhóm 95.04</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8543.70.29</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8543.70.30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thiết bị điện có chức năng phiên dịch hoặc từ điển</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8543.70.40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tách bụi hoặc khử tĩnh điện trong quá trình chế tạo tấm mạch PCB/PWBs hoặc PC As; máy làm đóng rắn vật liệu bằng tia cực tím dùng trong sản xuất tấm mạch PCB/PWBs hoặc PCAs</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8543.70.50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Bộ khuếch đại vi sóng; máy ghi dữ liệu chuyến bay kỹ thuật số; đầu đọc điện tử di động hoạt động bằng pin để ghi và tái tạo văn bản, hình ảnh tĩnh hoặc tệp âm thanh</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8543.70.60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Thiết bị xử lý tín hiệu kỹ thuật số có khả năng kết nối với mạng có dây hoặc không dây để trộn âm thanh; các sản phẩm được thiết kế đặc biệt để kết nối với thiết bị hoặc dụng cụ điện tín hoặc điện thoại hoặc với mạng điện tín hoặc điện thoại</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8543.70.90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8543.90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Bộ phận:</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8543.90.10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Của hàng hóa thuộc phân nhóm 8543.10 hoặc 8543.20</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8543.90.20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Của hàng hóa thuộc phân nhóm 8543.30.20</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8543.90.30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Của hàng hóa thuộc phân nhóm 8543.70.30</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8543.90.40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Của hàng hóa thuộc phân nhóm 8543.70.40</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8543.90.90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87.01</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Xe kéo (trừ xe kéo thuộc nhóm 87.09).</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8701.10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Máy kéo trục đơn:</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Công suất không quá 22,5 kW, có hoặc không hoạt động bằng điện:</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8701.10.</w:t>
            </w:r>
            <w:r>
              <w:rPr>
                <w:color w:val="FF0000"/>
                <w:rtl w:val="0"/>
              </w:rPr>
              <w:t>11</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Dùng cho nông nghiệp</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8701.10.19</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8701.10.91</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Dùng cho nông nghiệp</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8701.10.99</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Ô tô đầu kéo dùng để kéo sơ mi rơ moóc: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8701.21</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chỉ sử dụng động cơ đốt trong kiểu piston cháy do nén (diesel hoặc bán diesel):</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8701.21.10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Dạng CKD</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8701.21.90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8701.22</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kết hợp động cơ đốt trong kiểu piston cháy do nén (diesel hoặc bán diesel) và động cơ điện để tạo động lực: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8701.22.10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Dạng CKD</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8701.22.90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8701.23</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kết hợp động cơ đốt trong kiểu piston đốt cháy bằng tia lửa điện và động cơ điện để tạo động lực: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8701.23.10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Dạng CKD</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8701.23.90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8701.24</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chỉ sử dụng động cơ điện để tạo động lực: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8701.24.10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Dạng CKD</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8701.24.90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8701.29</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8701.29.10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Dạng CKD</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8701.29.90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8701.30.00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Xe kéo bánh xích</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Loại khác, có công suất máy:</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8701.91</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Không quá 18 kW:</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8701.91.10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kéo nông nghiệp</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8701.91.90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8701.92</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Trên 18 kW nhưng không quá 37 kW:</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8701.92.10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kéo nông nghiệp</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8701.92.90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8701.93</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Trên 37 kW nhưng không quá 75 kW:</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8701.93.10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kéo nông nghiệp</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8701.93.90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8701.94</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Trên 75 kW nhưng không quá 130 kW:</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8701.94.10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kéo nông nghiệp</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8701.94.90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8701.95</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Trên 130 kW:</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8701.95.10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kéo nông nghiệp</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72"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8701.95.90</w:t>
            </w:r>
          </w:p>
        </w:tc>
        <w:tc>
          <w:tcPr>
            <w:tcW w:w="310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61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19" w:name="muc_2_pl"/>
      <w:r>
        <w:rPr>
          <w:b/>
          <w:bCs/>
          <w:rtl w:val="0"/>
        </w:rPr>
        <w:t>Mục II</w:t>
      </w:r>
      <w:bookmarkEnd w:id="19"/>
    </w:p>
    <w:p>
      <w:pPr>
        <w:bidi w:val="0"/>
        <w:spacing w:before="120" w:beforeAutospacing="0" w:after="280" w:afterAutospacing="1"/>
        <w:jc w:val="center"/>
      </w:pPr>
      <w:bookmarkStart w:id="20" w:name="muc_2_pl_name"/>
      <w:r>
        <w:rPr>
          <w:b/>
          <w:bCs/>
          <w:rtl w:val="0"/>
        </w:rPr>
        <w:t>CHƯƠNG 98 - QUY ĐỊNH MÃ HÀNG VÀ MỨC THUẾ SUẤT THUẾ NHẬP KHẨU ƯU ĐÃI ĐỐI VỚI MỘT SỐ NHÓM MẶT HÀNG, MẶT HÀNG</w:t>
      </w:r>
      <w:bookmarkEnd w:id="20"/>
    </w:p>
    <w:p>
      <w:pPr>
        <w:bidi w:val="0"/>
        <w:spacing w:before="120" w:beforeAutospacing="0" w:after="280" w:afterAutospacing="1"/>
      </w:pPr>
      <w:r>
        <w:rPr>
          <w:b/>
          <w:bCs/>
          <w:rtl w:val="0"/>
        </w:rPr>
        <w:t>3. Danh mục hàng hóa và mức thuế suất thuế nhập khẩu ưu đãi</w:t>
      </w:r>
    </w:p>
    <w:tbl>
      <w:tblPr>
        <w:tblW w:w="5000" w:type="pct"/>
        <w:jc w:val="left"/>
        <w:tblCellMar>
          <w:top w:w="0" w:type="dxa"/>
          <w:left w:w="0" w:type="dxa"/>
          <w:bottom w:w="0" w:type="dxa"/>
          <w:right w:w="0" w:type="dxa"/>
        </w:tblCellMar>
      </w:tblPr>
      <w:tblGrid>
        <w:gridCol w:w="1403"/>
        <w:gridCol w:w="4812"/>
        <w:gridCol w:w="1519"/>
        <w:gridCol w:w="906"/>
      </w:tblGrid>
      <w:tr>
        <w:tblPrEx>
          <w:tblW w:w="5000" w:type="pct"/>
          <w:jc w:val="left"/>
          <w:tblCellMar>
            <w:top w:w="0" w:type="dxa"/>
            <w:left w:w="0" w:type="dxa"/>
            <w:bottom w:w="0" w:type="dxa"/>
            <w:right w:w="0" w:type="dxa"/>
          </w:tblCellMar>
        </w:tblPrEx>
        <w:trPr>
          <w:jc w:val="left"/>
        </w:trPr>
        <w:tc>
          <w:tcPr>
            <w:tcW w:w="81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c>
          <w:tcPr>
            <w:tcW w:w="278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w:t>
            </w:r>
          </w:p>
        </w:tc>
        <w:tc>
          <w:tcPr>
            <w:tcW w:w="87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hàng tương ứng tại Mục I Phụ lục II</w:t>
            </w:r>
          </w:p>
        </w:tc>
        <w:tc>
          <w:tcPr>
            <w:tcW w:w="52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Thuế suất (%)</w:t>
            </w:r>
          </w:p>
        </w:tc>
      </w:tr>
      <w:tr>
        <w:tblPrEx>
          <w:tblW w:w="5000" w:type="pct"/>
          <w:jc w:val="left"/>
          <w:tblCellMar>
            <w:top w:w="0" w:type="dxa"/>
            <w:left w:w="0" w:type="dxa"/>
            <w:bottom w:w="0" w:type="dxa"/>
            <w:right w:w="0" w:type="dxa"/>
          </w:tblCellMar>
        </w:tblPrEx>
        <w:trPr>
          <w:jc w:val="left"/>
        </w:trPr>
        <w:tc>
          <w:tcPr>
            <w:tcW w:w="81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98.45</w:t>
            </w:r>
          </w:p>
        </w:tc>
        <w:tc>
          <w:tcPr>
            <w:tcW w:w="278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 xml:space="preserve">Phụ tùng, linh kiện ô tô nhập khẩu để triển khai Quyết định số </w:t>
            </w:r>
            <w:bookmarkStart w:id="21" w:name="tvpllink_qjfuzzawxd"/>
            <w:r>
              <w:rPr>
                <w:b/>
                <w:bCs/>
                <w:rtl w:val="0"/>
              </w:rPr>
              <w:t>229/QĐ-TTg</w:t>
            </w:r>
            <w:bookmarkEnd w:id="21"/>
            <w:r>
              <w:rPr>
                <w:b/>
                <w:bCs/>
                <w:rtl w:val="0"/>
              </w:rPr>
              <w:t xml:space="preserve"> ngày 4/2/2016 về cơ chế, chính sách thực hiện Chiến lược và Quy hoạch phát triển ngành công nghiệp ô tô.</w:t>
            </w:r>
          </w:p>
        </w:tc>
        <w:tc>
          <w:tcPr>
            <w:tcW w:w="87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1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9845.20.00</w:t>
            </w:r>
          </w:p>
        </w:tc>
        <w:tc>
          <w:tcPr>
            <w:tcW w:w="278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Kính an toàn, kính dán an toàn (dày từ 6 đến 12 mm/kính dán nhiều lớp để tăng độ bền, có thể hạn chế tia UV), loại dùng cho ô tô tải và ô tô chở khách thuộc nhóm 87.02 và 87.04</w:t>
            </w:r>
          </w:p>
        </w:tc>
        <w:tc>
          <w:tcPr>
            <w:tcW w:w="87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7007.21.10</w:t>
            </w:r>
          </w:p>
        </w:tc>
        <w:tc>
          <w:tcPr>
            <w:tcW w:w="52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25</w:t>
            </w:r>
          </w:p>
        </w:tc>
      </w:tr>
      <w:tr>
        <w:tblPrEx>
          <w:tblW w:w="5000" w:type="pct"/>
          <w:jc w:val="left"/>
          <w:tblCellMar>
            <w:top w:w="0" w:type="dxa"/>
            <w:left w:w="0" w:type="dxa"/>
            <w:bottom w:w="0" w:type="dxa"/>
            <w:right w:w="0" w:type="dxa"/>
          </w:tblCellMar>
        </w:tblPrEx>
        <w:trPr>
          <w:jc w:val="left"/>
        </w:trPr>
        <w:tc>
          <w:tcPr>
            <w:tcW w:w="81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9845.30.00</w:t>
            </w:r>
          </w:p>
        </w:tc>
        <w:tc>
          <w:tcPr>
            <w:tcW w:w="278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Ống xi lanh sử dụng cho dẫn dầu hộp số ô tô</w:t>
            </w:r>
          </w:p>
        </w:tc>
        <w:tc>
          <w:tcPr>
            <w:tcW w:w="87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8409.99.44</w:t>
            </w:r>
          </w:p>
        </w:tc>
        <w:tc>
          <w:tcPr>
            <w:tcW w:w="52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15</w:t>
            </w:r>
          </w:p>
        </w:tc>
      </w:tr>
      <w:tr>
        <w:tblPrEx>
          <w:tblW w:w="5000" w:type="pct"/>
          <w:jc w:val="left"/>
          <w:tblCellMar>
            <w:top w:w="0" w:type="dxa"/>
            <w:left w:w="0" w:type="dxa"/>
            <w:bottom w:w="0" w:type="dxa"/>
            <w:right w:w="0" w:type="dxa"/>
          </w:tblCellMar>
        </w:tblPrEx>
        <w:trPr>
          <w:jc w:val="left"/>
        </w:trPr>
        <w:tc>
          <w:tcPr>
            <w:tcW w:w="81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9845.40.00</w:t>
            </w:r>
          </w:p>
        </w:tc>
        <w:tc>
          <w:tcPr>
            <w:tcW w:w="278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Bạc nhíp dùng cho xe từ 1,25 tấn trở lên</w:t>
            </w:r>
          </w:p>
        </w:tc>
        <w:tc>
          <w:tcPr>
            <w:tcW w:w="87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8483.30.30</w:t>
            </w:r>
          </w:p>
        </w:tc>
        <w:tc>
          <w:tcPr>
            <w:tcW w:w="52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15</w:t>
            </w:r>
          </w:p>
        </w:tc>
      </w:tr>
      <w:tr>
        <w:tblPrEx>
          <w:tblW w:w="5000" w:type="pct"/>
          <w:jc w:val="left"/>
          <w:tblCellMar>
            <w:top w:w="0" w:type="dxa"/>
            <w:left w:w="0" w:type="dxa"/>
            <w:bottom w:w="0" w:type="dxa"/>
            <w:right w:w="0" w:type="dxa"/>
          </w:tblCellMar>
        </w:tblPrEx>
        <w:trPr>
          <w:jc w:val="left"/>
        </w:trPr>
        <w:tc>
          <w:tcPr>
            <w:tcW w:w="81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9845.50.00</w:t>
            </w:r>
          </w:p>
        </w:tc>
        <w:tc>
          <w:tcPr>
            <w:tcW w:w="278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Bạc phụ tùng dùng cho bộ bánh răng và cụm bánh răng khớp, trừ bánh xe có răng, đĩa xích và các bộ phận truyền chuyển động ở dạng riêng biệt; vít bi hoặc vít đũa; hộp số và các cơ cấu điều tốc khác, kể cả bộ biến đổi mô men xoắn</w:t>
            </w:r>
          </w:p>
        </w:tc>
        <w:tc>
          <w:tcPr>
            <w:tcW w:w="87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8483.40.40</w:t>
            </w:r>
          </w:p>
        </w:tc>
        <w:tc>
          <w:tcPr>
            <w:tcW w:w="52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15</w:t>
            </w:r>
          </w:p>
        </w:tc>
      </w:tr>
      <w:tr>
        <w:tblPrEx>
          <w:tblW w:w="5000" w:type="pct"/>
          <w:jc w:val="left"/>
          <w:tblCellMar>
            <w:top w:w="0" w:type="dxa"/>
            <w:left w:w="0" w:type="dxa"/>
            <w:bottom w:w="0" w:type="dxa"/>
            <w:right w:w="0" w:type="dxa"/>
          </w:tblCellMar>
        </w:tblPrEx>
        <w:trPr>
          <w:jc w:val="left"/>
        </w:trPr>
        <w:tc>
          <w:tcPr>
            <w:tcW w:w="81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9845.60.00</w:t>
            </w:r>
          </w:p>
        </w:tc>
        <w:tc>
          <w:tcPr>
            <w:tcW w:w="278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Ống dầu phanh</w:t>
            </w:r>
          </w:p>
        </w:tc>
        <w:tc>
          <w:tcPr>
            <w:tcW w:w="87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8708.30.29</w:t>
            </w:r>
          </w:p>
        </w:tc>
        <w:tc>
          <w:tcPr>
            <w:tcW w:w="52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22</w:t>
            </w:r>
          </w:p>
        </w:tc>
      </w:tr>
      <w:tr>
        <w:tblPrEx>
          <w:tblW w:w="5000" w:type="pct"/>
          <w:jc w:val="left"/>
          <w:tblCellMar>
            <w:top w:w="0" w:type="dxa"/>
            <w:left w:w="0" w:type="dxa"/>
            <w:bottom w:w="0" w:type="dxa"/>
            <w:right w:w="0" w:type="dxa"/>
          </w:tblCellMar>
        </w:tblPrEx>
        <w:trPr>
          <w:jc w:val="left"/>
        </w:trPr>
        <w:tc>
          <w:tcPr>
            <w:tcW w:w="81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9845.80.00</w:t>
            </w:r>
          </w:p>
        </w:tc>
        <w:tc>
          <w:tcPr>
            <w:tcW w:w="278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Hộp giảm tốc trục vít - bánh vít</w:t>
            </w:r>
          </w:p>
        </w:tc>
        <w:tc>
          <w:tcPr>
            <w:tcW w:w="87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8708.40.29</w:t>
            </w:r>
          </w:p>
        </w:tc>
        <w:tc>
          <w:tcPr>
            <w:tcW w:w="52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81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278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Loại khác:</w:t>
            </w:r>
          </w:p>
        </w:tc>
        <w:tc>
          <w:tcPr>
            <w:tcW w:w="87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2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1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9845.90.10</w:t>
            </w:r>
          </w:p>
        </w:tc>
        <w:tc>
          <w:tcPr>
            <w:tcW w:w="278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Ống dẫn sử dụng cho dẫn dầu hộp số ô tô</w:t>
            </w:r>
          </w:p>
        </w:tc>
        <w:tc>
          <w:tcPr>
            <w:tcW w:w="87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8708.40.92</w:t>
            </w:r>
          </w:p>
        </w:tc>
        <w:tc>
          <w:tcPr>
            <w:tcW w:w="52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81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9845.90.20</w:t>
            </w:r>
          </w:p>
        </w:tc>
        <w:tc>
          <w:tcPr>
            <w:tcW w:w="278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Vành bánh xe</w:t>
            </w:r>
          </w:p>
        </w:tc>
        <w:tc>
          <w:tcPr>
            <w:tcW w:w="87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8708.70.32</w:t>
            </w:r>
          </w:p>
        </w:tc>
        <w:tc>
          <w:tcPr>
            <w:tcW w:w="52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25</w:t>
            </w:r>
          </w:p>
        </w:tc>
      </w:tr>
      <w:tr>
        <w:tblPrEx>
          <w:tblW w:w="5000" w:type="pct"/>
          <w:jc w:val="left"/>
          <w:tblCellMar>
            <w:top w:w="0" w:type="dxa"/>
            <w:left w:w="0" w:type="dxa"/>
            <w:bottom w:w="0" w:type="dxa"/>
            <w:right w:w="0" w:type="dxa"/>
          </w:tblCellMar>
        </w:tblPrEx>
        <w:trPr>
          <w:jc w:val="left"/>
        </w:trPr>
        <w:tc>
          <w:tcPr>
            <w:tcW w:w="812"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9845.90.90</w:t>
            </w:r>
          </w:p>
        </w:tc>
        <w:tc>
          <w:tcPr>
            <w:tcW w:w="2784"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Ống xả</w:t>
            </w:r>
          </w:p>
        </w:tc>
        <w:tc>
          <w:tcPr>
            <w:tcW w:w="879"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8708.92.20</w:t>
            </w:r>
          </w:p>
        </w:tc>
        <w:tc>
          <w:tcPr>
            <w:tcW w:w="524"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25</w:t>
            </w:r>
          </w:p>
        </w:tc>
      </w:tr>
    </w:tbl>
    <w:p>
      <w:pPr>
        <w:bidi w:val="0"/>
        <w:spacing w:before="120" w:beforeAutospacing="0" w:after="280" w:afterAutospacing="1"/>
      </w:pPr>
      <w:r>
        <w:rPr>
          <w:rtl w:val="0"/>
        </w:rPr>
        <w:t> </w:t>
      </w:r>
    </w:p>
    <w:p>
      <w:pPr>
        <w:bidi w:val="0"/>
        <w:spacing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