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w:t>
            </w:r>
            <w:r>
              <w:rPr>
                <w:rtl w:val="0"/>
              </w:rPr>
              <w:t>1400/QĐ-BCT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w:t>
            </w:r>
            <w:r>
              <w:rPr>
                <w:i/>
                <w:iCs/>
                <w:rtl w:val="0"/>
              </w:rPr>
              <w:t>12</w:t>
            </w:r>
            <w:r>
              <w:rPr>
                <w:i/>
                <w:iCs/>
                <w:rtl w:val="0"/>
              </w:rPr>
              <w:t xml:space="preserve"> tháng</w:t>
            </w:r>
            <w:r>
              <w:rPr>
                <w:i/>
                <w:iCs/>
                <w:rtl w:val="0"/>
              </w:rPr>
              <w:t xml:space="preserve"> 6 năm 2026</w:t>
            </w:r>
            <w:r>
              <w:rPr>
                <w:i/>
                <w:iCs/>
                <w:rtl w:val="0"/>
              </w:rPr>
              <w:t xml:space="preserve">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ÁP DỤNG THUẾ CHỐNG BÁN PHÁ GIÁ CHÍNH THỨC ĐỐI VỚI MỘT SỐ SẢN PHẨM KÍNH NỔI KHÔNG MÀU CÓ XUẤT XỨ TỪ CỘNG HÒA IN-ĐÔ-NÊ-XI-A VÀ MA-LAI-XI-A</w:t>
      </w:r>
      <w:bookmarkEnd w:id="1"/>
    </w:p>
    <w:p>
      <w:pPr>
        <w:bidi w:val="0"/>
        <w:spacing w:before="120" w:beforeAutospacing="0" w:after="280" w:afterAutospacing="1"/>
        <w:jc w:val="center"/>
      </w:pPr>
      <w:r>
        <w:rPr>
          <w:b/>
          <w:bCs/>
          <w:sz w:val="22"/>
          <w:rtl w:val="0"/>
        </w:rPr>
        <w:t>BỘ TRƯỞNG BỘ CÔNG THƯƠNG</w:t>
      </w:r>
    </w:p>
    <w:p>
      <w:pPr>
        <w:bidi w:val="0"/>
        <w:spacing w:before="120" w:beforeAutospacing="0" w:after="280" w:afterAutospacing="1"/>
      </w:pPr>
      <w:r>
        <w:rPr>
          <w:i/>
          <w:iCs/>
          <w:rtl w:val="0"/>
        </w:rPr>
        <w:t>Căn cứ Luật Quản lý ngoại thương ngày 12 tháng 6 năm 2017;</w:t>
      </w:r>
    </w:p>
    <w:p>
      <w:pPr>
        <w:bidi w:val="0"/>
        <w:spacing w:before="120" w:beforeAutospacing="0" w:after="280" w:afterAutospacing="1"/>
      </w:pPr>
      <w:r>
        <w:rPr>
          <w:i/>
          <w:iCs/>
          <w:rtl w:val="0"/>
        </w:rPr>
        <w:t>Căn cứ Nghị định số 40/2025/NĐ-CP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86/2025/NĐ-CP ngày 11 tháng 4 năm 2025 của Chính phủ quy định chi tiết một số điều của Luật Quản lý ngoại thương về các </w:t>
      </w:r>
      <w:r>
        <w:rPr>
          <w:i/>
          <w:iCs/>
          <w:rtl w:val="0"/>
        </w:rPr>
        <w:t>biện</w:t>
      </w:r>
      <w:r>
        <w:rPr>
          <w:i/>
          <w:iCs/>
          <w:rtl w:val="0"/>
        </w:rPr>
        <w:t xml:space="preserve"> pháp phòng vệ thương mại;</w:t>
      </w:r>
    </w:p>
    <w:p>
      <w:pPr>
        <w:bidi w:val="0"/>
        <w:spacing w:before="120" w:beforeAutospacing="0" w:after="280" w:afterAutospacing="1"/>
      </w:pPr>
      <w:r>
        <w:rPr>
          <w:i/>
          <w:iCs/>
          <w:rtl w:val="0"/>
        </w:rPr>
        <w:t>Căn cứ Thông tư số 26/2025/TT-BCT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Căn cứ Quyết định số 536/QĐ-BCT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2093/QĐ-BCT ngày 18 tháng 7 năm 2025 của Bộ trưởng Bộ Công Thương về việc điều tra áp dụng biện pháp </w:t>
      </w:r>
      <w:r>
        <w:rPr>
          <w:i/>
          <w:iCs/>
          <w:rtl w:val="0"/>
        </w:rPr>
        <w:t>chống bán</w:t>
      </w:r>
      <w:r>
        <w:rPr>
          <w:i/>
          <w:iCs/>
          <w:rtl w:val="0"/>
        </w:rPr>
        <w:t xml:space="preserve"> phá giá đối với một số sản phẩm kính n</w:t>
      </w:r>
      <w:r>
        <w:rPr>
          <w:i/>
          <w:iCs/>
          <w:rtl w:val="0"/>
        </w:rPr>
        <w:t>ổ</w:t>
      </w:r>
      <w:r>
        <w:rPr>
          <w:i/>
          <w:iCs/>
          <w:rtl w:val="0"/>
        </w:rPr>
        <w:t xml:space="preserve">i không màu </w:t>
      </w:r>
      <w:r>
        <w:rPr>
          <w:i/>
          <w:iCs/>
          <w:rtl w:val="0"/>
        </w:rPr>
        <w:t>có xuất</w:t>
      </w:r>
      <w:r>
        <w:rPr>
          <w:i/>
          <w:iCs/>
          <w:rtl w:val="0"/>
        </w:rPr>
        <w:t xml:space="preserve"> xứ từ Cộng </w:t>
      </w:r>
      <w:r>
        <w:rPr>
          <w:i/>
          <w:iCs/>
          <w:rtl w:val="0"/>
        </w:rPr>
        <w:t>hòa</w:t>
      </w:r>
      <w:r>
        <w:rPr>
          <w:i/>
          <w:iCs/>
          <w:rtl w:val="0"/>
        </w:rPr>
        <w:t xml:space="preserve"> In-đô-nê-</w:t>
      </w:r>
      <w:r>
        <w:rPr>
          <w:i/>
          <w:iCs/>
          <w:rtl w:val="0"/>
        </w:rPr>
        <w:t>xi</w:t>
      </w:r>
      <w:r>
        <w:rPr>
          <w:i/>
          <w:iCs/>
          <w:rtl w:val="0"/>
        </w:rPr>
        <w:t>-a và Ma-lai-xi-a;</w:t>
      </w:r>
    </w:p>
    <w:p>
      <w:pPr>
        <w:bidi w:val="0"/>
        <w:spacing w:before="120" w:beforeAutospacing="0" w:after="280" w:afterAutospacing="1"/>
      </w:pPr>
      <w:r>
        <w:rPr>
          <w:i/>
          <w:iCs/>
          <w:rtl w:val="0"/>
        </w:rPr>
        <w:t xml:space="preserve">Căn cứ Quyết định số 228/QĐ-BCT ngày 30 tháng 01 năm 2026 của Bộ trưởng Bộ </w:t>
      </w:r>
      <w:r>
        <w:rPr>
          <w:i/>
          <w:iCs/>
          <w:rtl w:val="0"/>
        </w:rPr>
        <w:t>Công</w:t>
      </w:r>
      <w:r>
        <w:rPr>
          <w:i/>
          <w:iCs/>
          <w:rtl w:val="0"/>
        </w:rPr>
        <w:t xml:space="preserve"> Thương về việc áp dụng thuế chống bán phá giá tạm thời đối với một số sản phẩm kính nổi không màu có xuất xứ từ Cộng hòa </w:t>
      </w:r>
      <w:r>
        <w:rPr>
          <w:i/>
          <w:iCs/>
          <w:rtl w:val="0"/>
        </w:rPr>
        <w:t>In</w:t>
      </w:r>
      <w:r>
        <w:rPr>
          <w:i/>
          <w:iCs/>
          <w:rtl w:val="0"/>
        </w:rPr>
        <w:t>-đô-nê-xi-a và Ma-lai-xi-a;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2"/>
          <w:rtl w:val="0"/>
        </w:rPr>
        <w:t>QUYẾT ĐỊNH:</w:t>
      </w:r>
    </w:p>
    <w:p>
      <w:pPr>
        <w:bidi w:val="0"/>
        <w:spacing w:before="120" w:beforeAutospacing="0" w:after="280" w:afterAutospacing="1"/>
      </w:pPr>
      <w:bookmarkStart w:id="2" w:name="dieu_1"/>
      <w:r>
        <w:rPr>
          <w:b/>
          <w:bCs/>
          <w:rtl w:val="0"/>
        </w:rPr>
        <w:t>Điều 1.</w:t>
      </w:r>
      <w:r>
        <w:rPr>
          <w:rtl w:val="0"/>
        </w:rPr>
        <w:t xml:space="preserve"> Áp dụng thuế chống bán phá giá chính thức đối với một số sản phẩm kính </w:t>
      </w:r>
      <w:r>
        <w:rPr>
          <w:rtl w:val="0"/>
        </w:rPr>
        <w:t>nổi</w:t>
      </w:r>
      <w:r>
        <w:rPr>
          <w:rtl w:val="0"/>
        </w:rPr>
        <w:t xml:space="preserve"> không màu có xuất xứ từ Cộng hòa In-đô-nê-xi-a và Ma-lai-xi-a được phân loại theo các mã HS 7005.29.20, 7005.29.90 (mã vụ việc: AD22) với nội dung chi tiết nêu tại Thông báo kèm theo Quyết định này.</w:t>
      </w:r>
      <w:bookmarkEnd w:id="2"/>
    </w:p>
    <w:p>
      <w:pPr>
        <w:bidi w:val="0"/>
        <w:spacing w:before="120" w:beforeAutospacing="0" w:after="280" w:afterAutospacing="1"/>
      </w:pPr>
      <w:bookmarkStart w:id="3" w:name="dieu_2"/>
      <w:r>
        <w:rPr>
          <w:b/>
          <w:bCs/>
          <w:rtl w:val="0"/>
        </w:rPr>
        <w:t>Điều 2.</w:t>
      </w:r>
      <w:r>
        <w:rPr>
          <w:rtl w:val="0"/>
        </w:rPr>
        <w:t xml:space="preserve"> Quyết định này có hiệu lực kể từ ngày 14 tháng 6 năm 2026.</w:t>
      </w:r>
      <w:bookmarkEnd w:id="3"/>
    </w:p>
    <w:p>
      <w:pPr>
        <w:bidi w:val="0"/>
        <w:spacing w:before="120" w:beforeAutospacing="0" w:after="280" w:afterAutospacing="1"/>
      </w:pPr>
      <w:bookmarkStart w:id="4" w:name="dieu_3"/>
      <w:r>
        <w:rPr>
          <w:b/>
          <w:bCs/>
          <w:rtl w:val="0"/>
        </w:rPr>
        <w:t>Điều 3.</w:t>
      </w:r>
      <w:r>
        <w:rPr>
          <w:rtl w:val="0"/>
        </w:rPr>
        <w:t xml:space="preserve"> Chánh Văn phòng Bộ, Cục trưởng Cục Phòng vệ thương mại và Thủ trưởng các đơn vị, các bên liên quan chịu trách nhiệm thi hành Quyết định này./.</w:t>
      </w:r>
      <w:bookmarkEnd w:id="4"/>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280" w:afterAutospacing="1"/>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Văn phòng Chính phủ;</w:t>
            </w:r>
            <w:r>
              <w:rPr>
                <w:sz w:val="16"/>
                <w:rtl w:val="0"/>
              </w:rPr>
              <w:br/>
            </w:r>
            <w:r>
              <w:rPr>
                <w:sz w:val="16"/>
                <w:rtl w:val="0"/>
              </w:rPr>
              <w:t>- Các Bộ: XD,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 - Bộ Tài Chính;</w:t>
            </w:r>
            <w:r>
              <w:rPr>
                <w:sz w:val="16"/>
                <w:rtl w:val="0"/>
              </w:rPr>
              <w:br/>
            </w:r>
            <w:r>
              <w:rPr>
                <w:sz w:val="16"/>
                <w:rtl w:val="0"/>
              </w:rPr>
              <w:t>- Các Cục: CN, XNK;</w:t>
            </w:r>
            <w:r>
              <w:rPr>
                <w:sz w:val="16"/>
                <w:rtl w:val="0"/>
              </w:rPr>
              <w:br/>
            </w:r>
            <w:r>
              <w:rPr>
                <w:sz w:val="16"/>
                <w:rtl w:val="0"/>
              </w:rPr>
              <w:t>- Các Vụ: TTNN, ĐB, PC;</w:t>
            </w:r>
            <w:r>
              <w:rPr>
                <w:sz w:val="16"/>
                <w:rtl w:val="0"/>
              </w:rPr>
              <w:br/>
            </w:r>
            <w:r>
              <w:rPr>
                <w:sz w:val="16"/>
                <w:rtl w:val="0"/>
              </w:rPr>
              <w:t>- Văn phòng BCĐLNHNQT về kinh tế;</w:t>
            </w:r>
            <w:r>
              <w:rPr>
                <w:sz w:val="16"/>
                <w:rtl w:val="0"/>
              </w:rPr>
              <w:br/>
            </w:r>
            <w:r>
              <w:rPr>
                <w:sz w:val="16"/>
                <w:rtl w:val="0"/>
              </w:rPr>
              <w:t>-</w:t>
            </w:r>
            <w:r>
              <w:rPr>
                <w:sz w:val="16"/>
                <w:rtl w:val="0"/>
              </w:rPr>
              <w:t xml:space="preserve"> </w:t>
            </w:r>
            <w:r>
              <w:rPr>
                <w:sz w:val="16"/>
                <w:rtl w:val="0"/>
              </w:rPr>
              <w:t>Lưu: VT,</w:t>
            </w:r>
            <w:r>
              <w:rPr>
                <w:sz w:val="16"/>
                <w:rtl w:val="0"/>
              </w:rPr>
              <w:t xml:space="preserve"> </w:t>
            </w:r>
            <w:r>
              <w:rPr>
                <w:sz w:val="16"/>
                <w:rtl w:val="0"/>
              </w:rPr>
              <w:t>PVTM</w:t>
            </w:r>
            <w:r>
              <w:rPr>
                <w:sz w:val="16"/>
                <w:rtl w:val="0"/>
              </w:rPr>
              <w:t xml:space="preserve"> </w:t>
            </w:r>
            <w:r>
              <w:rPr>
                <w:sz w:val="16"/>
                <w:rtl w:val="0"/>
              </w:rPr>
              <w:t>(05).</w:t>
            </w:r>
            <w:r>
              <w:rPr>
                <w:sz w:val="16"/>
                <w:rtl w:val="0"/>
              </w:rPr>
              <w:t xml:space="preserve"> </w:t>
            </w:r>
          </w:p>
          <w:p>
            <w:pPr>
              <w:bidi w:val="0"/>
              <w:spacing w:after="0" w:afterAutospacing="0"/>
              <w:rPr>
                <w:sz w:val="16"/>
                <w:rtl w:val="0"/>
              </w:rPr>
            </w:pP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5" w:name="loai_2"/>
      <w:r>
        <w:rPr>
          <w:b/>
          <w:bCs/>
          <w:sz w:val="22"/>
          <w:rtl w:val="0"/>
        </w:rPr>
        <w:t>THÔNG BÁO</w:t>
      </w:r>
      <w:bookmarkEnd w:id="5"/>
    </w:p>
    <w:p>
      <w:pPr>
        <w:bidi w:val="0"/>
        <w:spacing w:before="120" w:beforeAutospacing="0" w:after="280" w:afterAutospacing="1"/>
        <w:jc w:val="center"/>
      </w:pPr>
      <w:bookmarkStart w:id="6" w:name="loai_2_name"/>
      <w:r>
        <w:rPr>
          <w:rtl w:val="0"/>
        </w:rPr>
        <w:t>ÁP DỤNG THUẾ CHỐNG BÁN PHÁ GIÁ CHÍNH THỨC ĐỐI VỚI MỘT SỐ SẢN PHẨM KÍNH NỔI KHÔNG MÀU CÓ XUẤT XỨ TỪ CỘNG HÒA IN-ĐÔ-NÊ-XI-A VÀ MA-LAI-XI-A</w:t>
      </w:r>
      <w:bookmarkEnd w:id="6"/>
      <w:r>
        <w:rPr>
          <w:rtl w:val="0"/>
        </w:rPr>
        <w:br/>
      </w:r>
      <w:r>
        <w:rPr>
          <w:i/>
          <w:iCs/>
          <w:rtl w:val="0"/>
        </w:rPr>
        <w:t> (Kèm theo Quyết định số 1400/QĐ-BCT ngày 12 tháng 6 năm 2026 của Bộ trưởng Bộ Công Thương)</w:t>
      </w:r>
    </w:p>
    <w:p>
      <w:pPr>
        <w:bidi w:val="0"/>
        <w:spacing w:before="120" w:beforeAutospacing="0" w:after="280" w:afterAutospacing="1"/>
      </w:pPr>
      <w:bookmarkStart w:id="7" w:name="dieu_1_1"/>
      <w:r>
        <w:rPr>
          <w:b/>
          <w:bCs/>
          <w:rtl w:val="0"/>
        </w:rPr>
        <w:t>1. Hàng hóa bị áp dụng thuế chống bán phá giá chính thức</w:t>
      </w:r>
      <w:bookmarkEnd w:id="7"/>
    </w:p>
    <w:p>
      <w:pPr>
        <w:bidi w:val="0"/>
        <w:spacing w:before="120" w:beforeAutospacing="0" w:after="280" w:afterAutospacing="1"/>
      </w:pPr>
      <w:r>
        <w:rPr>
          <w:rtl w:val="0"/>
        </w:rPr>
        <w:t>Hàng hóa bị áp dụng thuế chống bán phá giá (CBPG) là sản phẩm kính nổi không màu có xuất xứ từ Cộng hòa In-đô-nê-xi-a (In-đô-nê-xi-a) và Ma-lai-xi-a có các đặc tính cơ bản và phân loại theo các mã HS như sau:</w:t>
      </w:r>
    </w:p>
    <w:p>
      <w:pPr>
        <w:bidi w:val="0"/>
        <w:spacing w:before="120" w:beforeAutospacing="0" w:after="280" w:afterAutospacing="1"/>
      </w:pPr>
      <w:r>
        <w:rPr>
          <w:b/>
          <w:bCs/>
          <w:i/>
          <w:iCs/>
          <w:rtl w:val="0"/>
        </w:rPr>
        <w:t>a) Đặc tính cơ bản</w:t>
      </w:r>
    </w:p>
    <w:p>
      <w:pPr>
        <w:bidi w:val="0"/>
        <w:spacing w:before="120" w:beforeAutospacing="0" w:after="280" w:afterAutospacing="1"/>
      </w:pPr>
      <w:r>
        <w:rPr>
          <w:rtl w:val="0"/>
        </w:rPr>
        <w:t>Kính nổi là kính tấm được sản xuất theo công nghệ kéo theo phương nằm ngang, nổi trên bề mặt kim loại nóng chảy. Kính nổi thuộc phạm vi hàng hóa bị áp dụng thuế CBPG là kính nổi không màu; không có cốt lưới; không tráng lớp hấp thụ, lớp phản chiếu hoặc không phản chiếu; không phải là kính quang học chưa được gia công về mặt quang học.</w:t>
      </w:r>
    </w:p>
    <w:p>
      <w:pPr>
        <w:bidi w:val="0"/>
        <w:spacing w:before="120" w:beforeAutospacing="0" w:after="280" w:afterAutospacing="1"/>
      </w:pPr>
      <w:r>
        <w:rPr>
          <w:b/>
          <w:bCs/>
          <w:i/>
          <w:iCs/>
          <w:rtl w:val="0"/>
        </w:rPr>
        <w:t>b) Mã số hàng hóa (Mã HS)</w:t>
      </w:r>
    </w:p>
    <w:p>
      <w:pPr>
        <w:bidi w:val="0"/>
        <w:spacing w:before="120" w:beforeAutospacing="0" w:after="280" w:afterAutospacing="1"/>
      </w:pPr>
      <w:r>
        <w:rPr>
          <w:rtl w:val="0"/>
        </w:rPr>
        <w:t>Sản phẩm kính nổi không màu bị áp dụng thuế CBPG được phân loại theo các mã 7005.29.20 và 7005</w:t>
      </w:r>
      <w:r>
        <w:rPr>
          <w:rtl w:val="0"/>
        </w:rPr>
        <w:t>.</w:t>
      </w:r>
      <w:r>
        <w:rPr>
          <w:rtl w:val="0"/>
        </w:rPr>
        <w:t>29.90.</w:t>
      </w:r>
    </w:p>
    <w:p>
      <w:pPr>
        <w:bidi w:val="0"/>
        <w:spacing w:before="120" w:beforeAutospacing="0" w:after="280" w:afterAutospacing="1"/>
      </w:pPr>
      <w:r>
        <w:rPr>
          <w:rtl w:val="0"/>
        </w:rPr>
        <w:t>Bộ Công Thương có thể sửa đổi, bổ sung danh sách các mã HS của hàng hóa bị áp dụng thuế CBPG để phù hợp với mô tả hàng hóa bị điều tra và các thay đổi khác (nếu có).</w:t>
      </w:r>
    </w:p>
    <w:p>
      <w:pPr>
        <w:bidi w:val="0"/>
        <w:spacing w:before="120" w:beforeAutospacing="0" w:after="280" w:afterAutospacing="1"/>
      </w:pPr>
      <w:bookmarkStart w:id="8" w:name="dieu_2_1"/>
      <w:r>
        <w:rPr>
          <w:b/>
          <w:bCs/>
          <w:rtl w:val="0"/>
        </w:rPr>
        <w:t>2. Kết luận cuối cùng</w:t>
      </w:r>
      <w:bookmarkEnd w:id="8"/>
    </w:p>
    <w:p>
      <w:pPr>
        <w:bidi w:val="0"/>
        <w:spacing w:before="120" w:beforeAutospacing="0" w:after="280" w:afterAutospacing="1"/>
      </w:pPr>
      <w:r>
        <w:rPr>
          <w:rtl w:val="0"/>
        </w:rPr>
        <w:t>Kết luận cuối cùng của Cơ quan điều tra xác định rằng:</w:t>
      </w:r>
    </w:p>
    <w:p>
      <w:pPr>
        <w:bidi w:val="0"/>
        <w:spacing w:before="120" w:beforeAutospacing="0" w:after="280" w:afterAutospacing="1"/>
      </w:pPr>
      <w:r>
        <w:rPr>
          <w:rtl w:val="0"/>
        </w:rPr>
        <w:t>- Có tồn tại hành vi bán phá giá của hàng hóa nhập khẩu bị điều tra từ Cộng hòa In-đô-nê-xi-a và Ma-lai-xi-a;</w:t>
      </w:r>
    </w:p>
    <w:p>
      <w:pPr>
        <w:bidi w:val="0"/>
        <w:spacing w:before="120" w:beforeAutospacing="0" w:after="280" w:afterAutospacing="1"/>
      </w:pPr>
      <w:r>
        <w:rPr>
          <w:rtl w:val="0"/>
        </w:rPr>
        <w:t xml:space="preserve">- Có bằng chứng </w:t>
      </w:r>
      <w:r>
        <w:rPr>
          <w:rtl w:val="0"/>
        </w:rPr>
        <w:t>rõ</w:t>
      </w:r>
      <w:r>
        <w:rPr>
          <w:rtl w:val="0"/>
        </w:rPr>
        <w:t xml:space="preserve"> ràng về thiệt hại đáng kể của ngành sản xuất trong nước;</w:t>
      </w:r>
    </w:p>
    <w:p>
      <w:pPr>
        <w:bidi w:val="0"/>
        <w:spacing w:before="120" w:beforeAutospacing="0" w:after="280" w:afterAutospacing="1"/>
      </w:pPr>
      <w:r>
        <w:rPr>
          <w:rtl w:val="0"/>
        </w:rPr>
        <w:t>- Có tồn tại mối quan hệ nhân quả giữa việc hàng hóa bị yêu cầu điều tra bán phá giá là nguyên nhân chính gây thiệt hại đáng kể cho ngành sản xuất trong nước.</w:t>
      </w:r>
    </w:p>
    <w:p>
      <w:pPr>
        <w:bidi w:val="0"/>
        <w:spacing w:before="120" w:beforeAutospacing="0" w:after="280" w:afterAutospacing="1"/>
      </w:pPr>
      <w:bookmarkStart w:id="9" w:name="dieu_3_1"/>
      <w:r>
        <w:rPr>
          <w:b/>
          <w:bCs/>
          <w:rtl w:val="0"/>
        </w:rPr>
        <w:t>3. Mức thuế chống bán phá giá chính thức</w:t>
      </w:r>
      <w:bookmarkEnd w:id="9"/>
    </w:p>
    <w:tbl>
      <w:tblPr>
        <w:tblW w:w="5000" w:type="pct"/>
        <w:jc w:val="left"/>
        <w:tblCellMar>
          <w:top w:w="0" w:type="dxa"/>
          <w:left w:w="0" w:type="dxa"/>
          <w:bottom w:w="0" w:type="dxa"/>
          <w:right w:w="0" w:type="dxa"/>
        </w:tblCellMar>
      </w:tblPr>
      <w:tblGrid>
        <w:gridCol w:w="785"/>
        <w:gridCol w:w="3038"/>
        <w:gridCol w:w="3076"/>
        <w:gridCol w:w="1741"/>
        <w:gridCol w:w="1"/>
      </w:tblGrid>
      <w:tr>
        <w:tblPrEx>
          <w:tblW w:w="5000" w:type="pct"/>
          <w:jc w:val="left"/>
          <w:tblCellMar>
            <w:top w:w="0" w:type="dxa"/>
            <w:left w:w="0" w:type="dxa"/>
            <w:bottom w:w="0" w:type="dxa"/>
            <w:right w:w="0" w:type="dxa"/>
          </w:tblCellMar>
        </w:tblPrEx>
        <w:trPr>
          <w:jc w:val="left"/>
        </w:trPr>
        <w:tc>
          <w:tcPr>
            <w:tcW w:w="45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75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cá nhân sản xuất, xuất khẩu</w:t>
            </w:r>
          </w:p>
        </w:tc>
        <w:tc>
          <w:tcPr>
            <w:tcW w:w="178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1008"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 chính thức</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100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w:t>
            </w:r>
            <w:r>
              <w:rPr>
                <w:b/>
                <w:bCs/>
                <w:rtl w:val="0"/>
              </w:rPr>
              <w:t xml:space="preserve"> 3 </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CỘNG</w:t>
            </w:r>
            <w:r>
              <w:rPr>
                <w:b/>
                <w:bCs/>
                <w:rtl w:val="0"/>
              </w:rPr>
              <w:t xml:space="preserve"> HÒA IN-ĐÔ-NÊ-XI-A</w:t>
            </w: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PT Muliaglass</w:t>
            </w:r>
          </w:p>
        </w:tc>
        <w:tc>
          <w:tcPr>
            <w:tcW w:w="1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PT Mulia Industrindo, TBK</w:t>
            </w:r>
          </w:p>
        </w:tc>
        <w:tc>
          <w:tcPr>
            <w:tcW w:w="100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32,78%</w:t>
            </w: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PT Asahimas Flat Glass TBK</w:t>
            </w:r>
          </w:p>
        </w:tc>
        <w:tc>
          <w:tcPr>
            <w:tcW w:w="1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AGC Asia Pacific Pte Ltd</w:t>
            </w:r>
          </w:p>
        </w:tc>
        <w:tc>
          <w:tcPr>
            <w:tcW w:w="100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43,78%</w:t>
            </w: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PT Xinyi Glass Indonesia</w:t>
            </w:r>
          </w:p>
        </w:tc>
        <w:tc>
          <w:tcPr>
            <w:tcW w:w="1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00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43,78%</w:t>
            </w: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5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Tổ chức, cá nhân khác sản xuất, xuất khẩu hàng hóa có xuất xứ từ Cộng hòa In-đô-nê-xi-a</w:t>
            </w:r>
          </w:p>
        </w:tc>
        <w:tc>
          <w:tcPr>
            <w:tcW w:w="100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43,78%</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MA-LAI-XI-A</w:t>
            </w: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Jinjing Technology Malaysia SDN. BHD.</w:t>
            </w:r>
          </w:p>
        </w:tc>
        <w:tc>
          <w:tcPr>
            <w:tcW w:w="1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00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41,07%</w:t>
            </w:r>
          </w:p>
        </w:tc>
      </w:tr>
      <w:tr>
        <w:tblPrEx>
          <w:tblW w:w="5000" w:type="pct"/>
          <w:jc w:val="left"/>
          <w:tblCellMar>
            <w:top w:w="0" w:type="dxa"/>
            <w:left w:w="0" w:type="dxa"/>
            <w:bottom w:w="0" w:type="dxa"/>
            <w:right w:w="0" w:type="dxa"/>
          </w:tblCellMar>
        </w:tblPrEx>
        <w:trPr>
          <w:jc w:val="left"/>
        </w:trPr>
        <w:tc>
          <w:tcPr>
            <w:tcW w:w="45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Kibing Group (M) SDN. BHD.</w:t>
            </w:r>
          </w:p>
        </w:tc>
        <w:tc>
          <w:tcPr>
            <w:tcW w:w="178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008"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54,83%</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SBH Kibing Solar New Materials (M) SDN. BHD.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Xinyi Energy Smart (Malaysia) SDN. BHD.</w:t>
            </w:r>
          </w:p>
        </w:tc>
        <w:tc>
          <w:tcPr>
            <w:tcW w:w="17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00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53,32%</w:t>
            </w: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35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Tổ</w:t>
            </w:r>
            <w:r>
              <w:rPr>
                <w:rtl w:val="0"/>
              </w:rPr>
              <w:t xml:space="preserve"> chức, cá nhân khác sản xuất, xuất khẩu hàng hóa có xuất xứ từ Ma-lai-xi-a</w:t>
            </w:r>
          </w:p>
        </w:tc>
        <w:tc>
          <w:tcPr>
            <w:tcW w:w="100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63,39%</w:t>
            </w:r>
          </w:p>
        </w:tc>
      </w:tr>
    </w:tbl>
    <w:p>
      <w:pPr>
        <w:bidi w:val="0"/>
        <w:spacing w:before="120" w:beforeAutospacing="0" w:after="280" w:afterAutospacing="1"/>
      </w:pPr>
      <w:bookmarkStart w:id="10" w:name="dieu_4"/>
      <w:r>
        <w:rPr>
          <w:b/>
          <w:bCs/>
          <w:rtl w:val="0"/>
        </w:rPr>
        <w:t>4. Hiệu lực và thời hạn áp dụng thuế chống bán phá giá chính thức</w:t>
      </w:r>
      <w:bookmarkEnd w:id="10"/>
      <w:r>
        <w:rPr>
          <w:b/>
          <w:bCs/>
          <w:rtl w:val="0"/>
        </w:rPr>
        <w:t xml:space="preserve"> </w:t>
      </w:r>
    </w:p>
    <w:p>
      <w:pPr>
        <w:bidi w:val="0"/>
        <w:spacing w:before="120" w:beforeAutospacing="0" w:after="280" w:afterAutospacing="1"/>
      </w:pPr>
      <w:r>
        <w:rPr>
          <w:b/>
          <w:bCs/>
          <w:i/>
          <w:iCs/>
          <w:rtl w:val="0"/>
        </w:rPr>
        <w:t>a) Hiệu lực</w:t>
      </w:r>
    </w:p>
    <w:p>
      <w:pPr>
        <w:bidi w:val="0"/>
        <w:spacing w:before="120" w:beforeAutospacing="0" w:after="280" w:afterAutospacing="1"/>
      </w:pPr>
      <w:r>
        <w:rPr>
          <w:rtl w:val="0"/>
        </w:rPr>
        <w:t>Thuế chống bán phá giá chính thức có hiệu lực kể từ ngày 14 tháng 6 năm</w:t>
      </w:r>
      <w:r>
        <w:rPr>
          <w:rtl w:val="0"/>
        </w:rPr>
        <w:t xml:space="preserve"> </w:t>
      </w:r>
      <w:r>
        <w:rPr>
          <w:rtl w:val="0"/>
        </w:rPr>
        <w:t>2026.</w:t>
      </w:r>
    </w:p>
    <w:p>
      <w:pPr>
        <w:bidi w:val="0"/>
        <w:spacing w:before="120" w:beforeAutospacing="0" w:after="280" w:afterAutospacing="1"/>
      </w:pPr>
      <w:r>
        <w:rPr>
          <w:b/>
          <w:bCs/>
          <w:i/>
          <w:iCs/>
          <w:rtl w:val="0"/>
        </w:rPr>
        <w:t>b) Thời hạn áp dụng</w:t>
      </w:r>
    </w:p>
    <w:p>
      <w:pPr>
        <w:bidi w:val="0"/>
        <w:spacing w:before="120" w:beforeAutospacing="0" w:after="280" w:afterAutospacing="1"/>
      </w:pPr>
      <w:r>
        <w:rPr>
          <w:rtl w:val="0"/>
        </w:rPr>
        <w:t xml:space="preserve">Thuế chống bán phá giá chính thức có thời hạn áp dụng là 05 (năm) năm kể từ ngày có hiệu lực </w:t>
      </w:r>
      <w:r>
        <w:rPr>
          <w:i/>
          <w:iCs/>
          <w:rtl w:val="0"/>
        </w:rPr>
        <w:t>(</w:t>
      </w:r>
      <w:r>
        <w:rPr>
          <w:i/>
          <w:iCs/>
          <w:rtl w:val="0"/>
        </w:rPr>
        <w:t>trừ trường hợp được gia hạn, thay đổi, hủy bỏ theo Quyết định khác của Bộ trưởng Bộ Công Thương).</w:t>
      </w:r>
    </w:p>
    <w:p>
      <w:pPr>
        <w:bidi w:val="0"/>
        <w:spacing w:before="120" w:beforeAutospacing="0" w:after="280" w:afterAutospacing="1"/>
      </w:pPr>
      <w:bookmarkStart w:id="11" w:name="dieu_5"/>
      <w:r>
        <w:rPr>
          <w:b/>
          <w:bCs/>
          <w:rtl w:val="0"/>
        </w:rPr>
        <w:t>5. Thủ tục, hồ sơ kiểm tra và áp dụng thuế chống bán phá giá chính thức</w:t>
      </w:r>
      <w:bookmarkEnd w:id="11"/>
    </w:p>
    <w:p>
      <w:pPr>
        <w:bidi w:val="0"/>
        <w:spacing w:before="120" w:beforeAutospacing="0" w:after="280" w:afterAutospacing="1"/>
      </w:pPr>
      <w:r>
        <w:rPr>
          <w:b/>
          <w:bCs/>
          <w:i/>
          <w:iCs/>
          <w:rtl w:val="0"/>
        </w:rPr>
        <w:t>a) Chứng từ chứng nhận xuất xứ hàng hóa và giấy chứng nhận chất lượng của nhà sản xuất</w:t>
      </w:r>
    </w:p>
    <w:p>
      <w:pPr>
        <w:bidi w:val="0"/>
        <w:spacing w:before="120" w:beforeAutospacing="0" w:after="280" w:afterAutospacing="1"/>
      </w:pPr>
      <w:r>
        <w:rPr>
          <w:rtl w:val="0"/>
        </w:rPr>
        <w:t xml:space="preserve">Để có cơ sở xác định hàng hóa nhập khẩu thuộc đối tượng áp dụng thuế </w:t>
      </w:r>
      <w:r>
        <w:rPr>
          <w:rtl w:val="0"/>
        </w:rPr>
        <w:t>chống</w:t>
      </w:r>
      <w:r>
        <w:rPr>
          <w:rtl w:val="0"/>
        </w:rPr>
        <w:t xml:space="preserve"> b</w:t>
      </w:r>
      <w:r>
        <w:rPr>
          <w:rtl w:val="0"/>
        </w:rPr>
        <w:t>á</w:t>
      </w:r>
      <w:r>
        <w:rPr>
          <w:rtl w:val="0"/>
        </w:rPr>
        <w:t>n phá</w:t>
      </w:r>
      <w:r>
        <w:rPr>
          <w:rtl w:val="0"/>
        </w:rPr>
        <w:t xml:space="preserve"> </w:t>
      </w:r>
      <w:r>
        <w:rPr>
          <w:rtl w:val="0"/>
        </w:rPr>
        <w:t xml:space="preserve">giá, Cơ quan hải quan sẽ thực hiện kiểm </w:t>
      </w:r>
      <w:r>
        <w:rPr>
          <w:rtl w:val="0"/>
        </w:rPr>
        <w:t>tra</w:t>
      </w:r>
      <w:r>
        <w:rPr>
          <w:rtl w:val="0"/>
        </w:rPr>
        <w:t xml:space="preserve"> chứng </w:t>
      </w:r>
      <w:r>
        <w:rPr>
          <w:rtl w:val="0"/>
        </w:rPr>
        <w:t>từ chứng</w:t>
      </w:r>
      <w:r>
        <w:rPr>
          <w:rtl w:val="0"/>
        </w:rPr>
        <w:t xml:space="preserve"> nhận xuất xứ hàng hóa và giấy chứng nhận chất lượng của nhà sản xuất.</w:t>
      </w:r>
    </w:p>
    <w:p>
      <w:pPr>
        <w:bidi w:val="0"/>
        <w:spacing w:before="120" w:beforeAutospacing="0" w:after="280" w:afterAutospacing="1"/>
      </w:pPr>
      <w:r>
        <w:rPr>
          <w:rtl w:val="0"/>
        </w:rPr>
        <w:t>Chứng từ chứng nhận xuất xứ hàng hóa gồm:</w:t>
      </w:r>
    </w:p>
    <w:p>
      <w:pPr>
        <w:bidi w:val="0"/>
        <w:spacing w:before="120" w:beforeAutospacing="0" w:after="280" w:afterAutospacing="1"/>
      </w:pPr>
      <w:r>
        <w:rPr>
          <w:rtl w:val="0"/>
        </w:rPr>
        <w:t>- Giấy chứng nhận xuất xứ hàng hóa (C/O); hoặc</w:t>
      </w:r>
    </w:p>
    <w:p>
      <w:pPr>
        <w:bidi w:val="0"/>
        <w:spacing w:before="120" w:beforeAutospacing="0" w:after="280" w:afterAutospacing="1"/>
      </w:pPr>
      <w:r>
        <w:rPr>
          <w:rtl w:val="0"/>
        </w:rPr>
        <w:t>- Chứng từ tự chứng nhận xuất xứ hàng hóa phù hợp với quy định tại:</w:t>
      </w:r>
    </w:p>
    <w:p>
      <w:pPr>
        <w:bidi w:val="0"/>
        <w:spacing w:before="120" w:beforeAutospacing="0" w:after="280" w:afterAutospacing="1"/>
      </w:pPr>
      <w:r>
        <w:rPr>
          <w:rtl w:val="0"/>
        </w:rPr>
        <w:t>+ Hiệp định Đối tác Toàn diện và Tiến bộ xuyên Thái Bình Dương;</w:t>
      </w:r>
    </w:p>
    <w:p>
      <w:pPr>
        <w:bidi w:val="0"/>
        <w:spacing w:before="120" w:beforeAutospacing="0" w:after="280" w:afterAutospacing="1"/>
      </w:pPr>
      <w:r>
        <w:rPr>
          <w:rtl w:val="0"/>
        </w:rPr>
        <w:t>+ Hiệp định Đối tác Kinh tế toàn diện khu vực;</w:t>
      </w:r>
    </w:p>
    <w:p>
      <w:pPr>
        <w:bidi w:val="0"/>
        <w:spacing w:before="120" w:beforeAutospacing="0" w:after="280" w:afterAutospacing="1"/>
      </w:pPr>
      <w:r>
        <w:rPr>
          <w:rtl w:val="0"/>
        </w:rPr>
        <w:t>+ Hiệp định Thương mại tự do giữa Cộng hòa xã hội chủ nghĩa Việt</w:t>
      </w:r>
      <w:r>
        <w:rPr>
          <w:rtl w:val="0"/>
        </w:rPr>
        <w:t xml:space="preserve"> </w:t>
      </w:r>
      <w:r>
        <w:rPr>
          <w:rtl w:val="0"/>
        </w:rPr>
        <w:t>Nam và Liên minh châu Âu;</w:t>
      </w:r>
    </w:p>
    <w:p>
      <w:pPr>
        <w:bidi w:val="0"/>
        <w:spacing w:before="120" w:beforeAutospacing="0" w:after="280" w:afterAutospacing="1"/>
      </w:pPr>
      <w:r>
        <w:rPr>
          <w:rtl w:val="0"/>
        </w:rPr>
        <w:t>+ Hiệp định Thương mại tự do giữa Cộng hòa xã hội chủ nghĩa Việt</w:t>
      </w:r>
      <w:r>
        <w:rPr>
          <w:rtl w:val="0"/>
        </w:rPr>
        <w:t xml:space="preserve"> </w:t>
      </w:r>
      <w:r>
        <w:rPr>
          <w:rtl w:val="0"/>
        </w:rPr>
        <w:t>Nam và Vương quốc Liên hiệp Anh và Bắc Ai-len;</w:t>
      </w:r>
    </w:p>
    <w:p>
      <w:pPr>
        <w:bidi w:val="0"/>
        <w:spacing w:before="120" w:beforeAutospacing="0" w:after="280" w:afterAutospacing="1"/>
      </w:pPr>
      <w:r>
        <w:rPr>
          <w:rtl w:val="0"/>
        </w:rPr>
        <w:t>+ Hiệp định Thương mại hàng hóa ASEAN; hoặc</w:t>
      </w:r>
    </w:p>
    <w:p>
      <w:pPr>
        <w:bidi w:val="0"/>
        <w:spacing w:before="120" w:beforeAutospacing="0" w:after="280" w:afterAutospacing="1"/>
      </w:pPr>
      <w:r>
        <w:rPr>
          <w:rtl w:val="0"/>
        </w:rPr>
        <w:t>+ Hiệp định Thương mại tự do giữa Chính phủ nước Cộng hòa xã hội</w:t>
      </w:r>
      <w:r>
        <w:rPr>
          <w:rtl w:val="0"/>
        </w:rPr>
        <w:t xml:space="preserve"> </w:t>
      </w:r>
      <w:r>
        <w:rPr>
          <w:rtl w:val="0"/>
        </w:rPr>
        <w:t>chủ nghĩa Việt Nam và Chính phủ Nhà nước I-xra-en.</w:t>
      </w:r>
    </w:p>
    <w:p>
      <w:pPr>
        <w:bidi w:val="0"/>
        <w:spacing w:before="120" w:beforeAutospacing="0" w:after="280" w:afterAutospacing="1"/>
      </w:pPr>
      <w:r>
        <w:rPr>
          <w:rtl w:val="0"/>
        </w:rPr>
        <w:t xml:space="preserve">Giấy chứng nhận chất lượng của nhà sản xuất (sau đây gọi chung là Giấy chứng nhận nhà sản xuất) là văn bản do chính nhà sản xuất phát hành nhằm xác nhận sản phẩm đáp ứng các tiêu chuẩn chất lượng nhất định. Để có cơ sở kiểm tra, Bộ Công Thương chuyển cho Cơ quan hải quan mẫu giấy chứng nhận nhà sản xuất do các tổ chức, cá nhân nêu tại Cột 1 </w:t>
      </w:r>
      <w:bookmarkStart w:id="12" w:name="tc_1"/>
      <w:r>
        <w:rPr>
          <w:rtl w:val="0"/>
        </w:rPr>
        <w:t>Mục 3 của Thông báo này</w:t>
      </w:r>
      <w:bookmarkEnd w:id="12"/>
      <w:r>
        <w:rPr>
          <w:rtl w:val="0"/>
        </w:rPr>
        <w:t xml:space="preserve"> cung cấp.</w:t>
      </w:r>
    </w:p>
    <w:p>
      <w:pPr>
        <w:bidi w:val="0"/>
        <w:spacing w:before="120" w:beforeAutospacing="0" w:after="280" w:afterAutospacing="1"/>
      </w:pPr>
      <w:r>
        <w:rPr>
          <w:b/>
          <w:bCs/>
          <w:i/>
          <w:iCs/>
          <w:rtl w:val="0"/>
        </w:rPr>
        <w:t>b) Nội dung kiểm tra của Cơ quan hải quan</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được chứng từ chứng nhận xuất xứ hàng hóa thì áp dụng mức thuế chống bán phá giá là 63,39%.</w:t>
      </w:r>
    </w:p>
    <w:p>
      <w:pPr>
        <w:bidi w:val="0"/>
        <w:spacing w:before="120" w:beforeAutospacing="0" w:after="280" w:afterAutospacing="1"/>
      </w:pPr>
      <w:r>
        <w:rPr>
          <w:rtl w:val="0"/>
        </w:rPr>
        <w:t>- Trường hợp 2: Nếu người khai hải quan nộp được chứng từ chứng nhận xuất xứ hàng hóa từ nước, vùng lãnh thổ khác không phải là In-đô-nê-xi-a, Ma-lai-xi-a thì không phải nộp thuế chống bán phá giá.</w:t>
      </w:r>
    </w:p>
    <w:p>
      <w:pPr>
        <w:bidi w:val="0"/>
        <w:spacing w:before="120" w:beforeAutospacing="0" w:after="280" w:afterAutospacing="1"/>
      </w:pPr>
      <w:r>
        <w:rPr>
          <w:rtl w:val="0"/>
        </w:rPr>
        <w:t>- Trường hợp 3: Nếu người khai hải quan nộp được chứng từ chứng nhận xuất xứ hàng hóa từ In-đô-nê-xi-a hoặc Ma-lai-xi-a thì chuyển sang Bước 2.</w:t>
      </w:r>
    </w:p>
    <w:p>
      <w:pPr>
        <w:bidi w:val="0"/>
        <w:spacing w:before="120" w:beforeAutospacing="0" w:after="280" w:afterAutospacing="1"/>
      </w:pPr>
      <w:r>
        <w:rPr>
          <w:b/>
          <w:bCs/>
          <w:i/>
          <w:iCs/>
          <w:rtl w:val="0"/>
        </w:rPr>
        <w:t>Bước 2: Kiểm tra Giấy chứng nhận nhà sản xuất</w:t>
      </w:r>
    </w:p>
    <w:p>
      <w:pPr>
        <w:bidi w:val="0"/>
        <w:spacing w:before="120" w:beforeAutospacing="0" w:after="280" w:afterAutospacing="1"/>
      </w:pPr>
      <w:r>
        <w:rPr>
          <w:rtl w:val="0"/>
        </w:rPr>
        <w:t>- Trường hợp 1: Nếu (i) người khai hải quan không nộp được Giấy chứng nhận</w:t>
      </w:r>
      <w:r>
        <w:rPr>
          <w:rtl w:val="0"/>
        </w:rPr>
        <w:t xml:space="preserve"> nhà sản</w:t>
      </w:r>
      <w:r>
        <w:rPr>
          <w:rtl w:val="0"/>
        </w:rPr>
        <w:t xml:space="preserve"> xuất </w:t>
      </w:r>
      <w:r>
        <w:rPr>
          <w:rtl w:val="0"/>
        </w:rPr>
        <w:t>hoặc</w:t>
      </w:r>
      <w:r>
        <w:rPr>
          <w:rtl w:val="0"/>
        </w:rPr>
        <w:t xml:space="preserve"> (ii) nộp được Giấy </w:t>
      </w:r>
      <w:r>
        <w:rPr>
          <w:rtl w:val="0"/>
        </w:rPr>
        <w:t>chứng</w:t>
      </w:r>
      <w:r>
        <w:rPr>
          <w:rtl w:val="0"/>
        </w:rPr>
        <w:t xml:space="preserve"> nhận nhà </w:t>
      </w:r>
      <w:r>
        <w:rPr>
          <w:rtl w:val="0"/>
        </w:rPr>
        <w:t>sản xuất nhưng</w:t>
      </w:r>
      <w:r>
        <w:rPr>
          <w:rtl w:val="0"/>
        </w:rPr>
        <w:t xml:space="preserve"> tên tổ chức, cá nhân trên Giấy chứng nhận nhà sản xuất không trùng với tên tổ chức, cá nhân nêu tại Cột 1 </w:t>
      </w:r>
      <w:bookmarkStart w:id="13" w:name="tc_2"/>
      <w:r>
        <w:rPr>
          <w:rtl w:val="0"/>
        </w:rPr>
        <w:t>Mục 3 của Thông báo này</w:t>
      </w:r>
      <w:bookmarkEnd w:id="13"/>
      <w:r>
        <w:rPr>
          <w:rtl w:val="0"/>
        </w:rPr>
        <w:t xml:space="preserve"> hoặc (iii) Giấy chứng nhận nhà sản xuất có sự khác biệt với mẫu giấy chứng nhận nhà sản xuất do tổ chức, cá nhân nêu tại Cột 1 </w:t>
      </w:r>
      <w:bookmarkStart w:id="14" w:name="tc_3"/>
      <w:r>
        <w:rPr>
          <w:rtl w:val="0"/>
        </w:rPr>
        <w:t>Mục 3 của Thông báo này</w:t>
      </w:r>
      <w:bookmarkEnd w:id="14"/>
      <w:r>
        <w:rPr>
          <w:rtl w:val="0"/>
        </w:rPr>
        <w:t xml:space="preserve"> đã cung cấp thì nộp thuế chống bán phá giá ở mức như sau:</w:t>
      </w:r>
    </w:p>
    <w:p>
      <w:pPr>
        <w:bidi w:val="0"/>
        <w:spacing w:before="120" w:beforeAutospacing="0" w:after="280" w:afterAutospacing="1"/>
      </w:pPr>
      <w:r>
        <w:rPr>
          <w:rtl w:val="0"/>
        </w:rPr>
        <w:t>+ 43,78% đối với hàng hóa có chứng từ xuất xứ từ In-đô-nê-xi-a;</w:t>
      </w:r>
    </w:p>
    <w:p>
      <w:pPr>
        <w:bidi w:val="0"/>
        <w:spacing w:before="120" w:beforeAutospacing="0" w:after="280" w:afterAutospacing="1"/>
      </w:pPr>
      <w:r>
        <w:rPr>
          <w:rtl w:val="0"/>
        </w:rPr>
        <w:t>+ 63,39% đối với hàng hóa có chứng từ xuất xứ từ Ma-lai-xi-a.</w:t>
      </w:r>
    </w:p>
    <w:p>
      <w:pPr>
        <w:bidi w:val="0"/>
        <w:spacing w:before="120" w:beforeAutospacing="0" w:after="280" w:afterAutospacing="1"/>
      </w:pPr>
      <w:r>
        <w:rPr>
          <w:rtl w:val="0"/>
        </w:rPr>
        <w:t xml:space="preserve">- Trường hợp 2: Nếu người khai hải quan nộp được Giấy chứng nhận nhà sản xuất, Giấy chứng nhận nhà sản xuất không có sự khác biệt với mẫu giấy chứng nhận nhà sản xuất do tổ chức, cá nhân nêu tại Cột 1 </w:t>
      </w:r>
      <w:bookmarkStart w:id="15" w:name="tc_4"/>
      <w:r>
        <w:rPr>
          <w:rtl w:val="0"/>
        </w:rPr>
        <w:t>Mục 3 của Thông báo này</w:t>
      </w:r>
      <w:bookmarkEnd w:id="15"/>
      <w:r>
        <w:rPr>
          <w:rtl w:val="0"/>
        </w:rPr>
        <w:t xml:space="preserve"> cung cấp và tên tổ chức, cá nhân trên Giấy chứng nhận nhà sản xuất trùng với tên tổ chức, cá nhân nêu tại Cột 1 </w:t>
      </w:r>
      <w:bookmarkStart w:id="16" w:name="tc_5"/>
      <w:r>
        <w:rPr>
          <w:rtl w:val="0"/>
        </w:rPr>
        <w:t>Mục 3 của Thông báo này</w:t>
      </w:r>
      <w:bookmarkEnd w:id="16"/>
      <w:r>
        <w:rPr>
          <w:rtl w:val="0"/>
        </w:rPr>
        <w:t xml:space="preserve"> thì chuyển sang Bước 3.</w:t>
      </w:r>
    </w:p>
    <w:p>
      <w:pPr>
        <w:bidi w:val="0"/>
        <w:spacing w:before="120" w:beforeAutospacing="0" w:after="280" w:afterAutospacing="1"/>
      </w:pPr>
      <w:r>
        <w:rPr>
          <w:b/>
          <w:bCs/>
          <w:i/>
          <w:iCs/>
          <w:rtl w:val="0"/>
        </w:rPr>
        <w:t>Bước 3: Kiểm tra tên tổ chức, cá nhân xuất khẩu</w:t>
      </w:r>
    </w:p>
    <w:p>
      <w:pPr>
        <w:bidi w:val="0"/>
        <w:spacing w:before="120" w:beforeAutospacing="0" w:after="280" w:afterAutospacing="1"/>
      </w:pPr>
      <w:r>
        <w:rPr>
          <w:rtl w:val="0"/>
        </w:rPr>
        <w:t xml:space="preserve">- Trường hợp 1: Nếu tên tổ chức, cá nhân xuất khẩu (dựa trên hợp đồng mua bán, hóa </w:t>
      </w:r>
      <w:r>
        <w:rPr>
          <w:rtl w:val="0"/>
        </w:rPr>
        <w:t>đơn</w:t>
      </w:r>
      <w:r>
        <w:rPr>
          <w:rtl w:val="0"/>
        </w:rPr>
        <w:t xml:space="preserve"> thương mại) trùng với tên tổ chức, cá nhân nêu tại Cột 1 </w:t>
      </w:r>
      <w:bookmarkStart w:id="17" w:name="tc_6"/>
      <w:r>
        <w:rPr>
          <w:rtl w:val="0"/>
        </w:rPr>
        <w:t>Mục 3</w:t>
      </w:r>
      <w:bookmarkEnd w:id="17"/>
      <w:r>
        <w:rPr>
          <w:rtl w:val="0"/>
        </w:rPr>
        <w:t xml:space="preserve"> hoặc trùng với tên tổ chức, cá nhân tương ứng theo hàng ngang tại Cột 2 </w:t>
      </w:r>
      <w:bookmarkStart w:id="18" w:name="tc_7"/>
      <w:r>
        <w:rPr>
          <w:rtl w:val="0"/>
        </w:rPr>
        <w:t>Mục 3</w:t>
      </w:r>
      <w:bookmarkEnd w:id="18"/>
      <w:r>
        <w:rPr>
          <w:rtl w:val="0"/>
        </w:rPr>
        <w:t xml:space="preserve"> thì nộp mức thuế tương ứng theo hàng ngang tại Cột 3 </w:t>
      </w:r>
      <w:bookmarkStart w:id="19" w:name="tc_8"/>
      <w:r>
        <w:rPr>
          <w:rtl w:val="0"/>
        </w:rPr>
        <w:t>Mục 3 của Thông báo này</w:t>
      </w:r>
      <w:bookmarkEnd w:id="19"/>
      <w:r>
        <w:rPr>
          <w:rtl w:val="0"/>
        </w:rPr>
        <w:t>.</w:t>
      </w:r>
    </w:p>
    <w:p>
      <w:pPr>
        <w:bidi w:val="0"/>
        <w:spacing w:before="120" w:beforeAutospacing="0" w:after="280" w:afterAutospacing="1"/>
      </w:pPr>
      <w:r>
        <w:rPr>
          <w:rtl w:val="0"/>
        </w:rPr>
        <w:t xml:space="preserve">- Trường hợp 2: Nếu tên tổ chức, cá nhân xuất khẩu (dựa trên hợp đồng mua bán, hóa đơn thương mại) không trùng với tên tổ chức, cá nhân nêu tại Cột 1 </w:t>
      </w:r>
      <w:bookmarkStart w:id="20" w:name="tc_9"/>
      <w:r>
        <w:rPr>
          <w:rtl w:val="0"/>
        </w:rPr>
        <w:t>Mục 3</w:t>
      </w:r>
      <w:bookmarkEnd w:id="20"/>
      <w:r>
        <w:rPr>
          <w:rtl w:val="0"/>
        </w:rPr>
        <w:t xml:space="preserve"> hoặc không trùng với tên tổ chức, cá nhân tương ứng theo hàng ngang tại Cột 2 </w:t>
      </w:r>
      <w:bookmarkStart w:id="21" w:name="tc_10"/>
      <w:r>
        <w:rPr>
          <w:rtl w:val="0"/>
        </w:rPr>
        <w:t>Mục 3</w:t>
      </w:r>
      <w:bookmarkEnd w:id="21"/>
      <w:r>
        <w:rPr>
          <w:rtl w:val="0"/>
        </w:rPr>
        <w:t xml:space="preserve"> thì nộp thuế chống bán phá giá ở mức như sau:</w:t>
      </w:r>
    </w:p>
    <w:p>
      <w:pPr>
        <w:bidi w:val="0"/>
        <w:spacing w:before="120" w:beforeAutospacing="0" w:after="280" w:afterAutospacing="1"/>
      </w:pPr>
      <w:r>
        <w:rPr>
          <w:rtl w:val="0"/>
        </w:rPr>
        <w:t>+ 43,78% đối với hàng hóa có chứng từ xuất xứ từ In-đô-nê-xi-a;</w:t>
      </w:r>
    </w:p>
    <w:p>
      <w:pPr>
        <w:bidi w:val="0"/>
        <w:spacing w:before="120" w:beforeAutospacing="0" w:after="280" w:afterAutospacing="1"/>
      </w:pPr>
      <w:r>
        <w:rPr>
          <w:rtl w:val="0"/>
        </w:rPr>
        <w:t>+ 63,39% đối với hàng hóa có chứng từ xuất xứ từ Ma-lai-xi-a.</w:t>
      </w:r>
    </w:p>
    <w:p>
      <w:pPr>
        <w:bidi w:val="0"/>
        <w:spacing w:before="120" w:beforeAutospacing="0" w:after="280" w:afterAutospacing="1"/>
      </w:pPr>
      <w:bookmarkStart w:id="22" w:name="dieu_6"/>
      <w:r>
        <w:rPr>
          <w:b/>
          <w:bCs/>
          <w:rtl w:val="0"/>
        </w:rPr>
        <w:t>6. Trình tự thủ tục tiếp theo của vụ việc</w:t>
      </w:r>
      <w:bookmarkEnd w:id="22"/>
    </w:p>
    <w:p>
      <w:pPr>
        <w:bidi w:val="0"/>
        <w:spacing w:before="120" w:beforeAutospacing="0" w:after="280" w:afterAutospacing="1"/>
      </w:pPr>
      <w:r>
        <w:rPr>
          <w:rtl w:val="0"/>
        </w:rPr>
        <w:t xml:space="preserve">Sau khi Quyết định có hiệu lực, Bộ Công Thương sẽ phối hợp với các cơ quan quản lý có liên quan thực hiện việc kiểm tra, theo dõi, giám sát hiệu quả của việc thực thi Quyết định trên cơ sở thông tin về tình hình nhập khẩu hàng hóa thuộc đối tượng áp dụng thuế chống bán phá giá và hàng hóa có khả năng lẩn tránh biện pháp chống bán phá giá do cơ quan hải quan cung cấp căn cứ theo quy định tại </w:t>
      </w:r>
      <w:bookmarkStart w:id="23" w:name="dc_1"/>
      <w:r>
        <w:rPr>
          <w:rtl w:val="0"/>
        </w:rPr>
        <w:t>Điều 18 của Nghị định số 86/2025/NĐ-CP</w:t>
      </w:r>
      <w:bookmarkEnd w:id="23"/>
      <w:r>
        <w:rPr>
          <w:rtl w:val="0"/>
        </w:rPr>
        <w:t xml:space="preserve"> ngày 11 tháng 4 năm 2025 của Chính phủ quy định chi tiết một số điều của Luật Quản lý ngoại thương về các biện pháp phòng vệ thương mại./.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