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Fonts w:ascii="Arial" w:eastAsia="Arial" w:hAnsi="Arial" w:cs="Arial"/>
                <w:b/>
                <w:bCs/>
                <w:rtl w:val="0"/>
              </w:rPr>
              <w:t>THỦ TƯỚNG CHÍNH PHỦ</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13/2023/QĐ-TTg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rFonts w:ascii="Arial" w:eastAsia="Arial" w:hAnsi="Arial" w:cs="Arial"/>
                <w:i/>
                <w:iCs/>
                <w:rtl w:val="0"/>
              </w:rPr>
              <w:t>Hà Nội, ngày 22 tháng</w:t>
            </w:r>
            <w:r>
              <w:rPr>
                <w:rtl w:val="0"/>
              </w:rPr>
              <w:t xml:space="preserve"> 5 </w:t>
            </w:r>
            <w:r>
              <w:rPr>
                <w:rFonts w:ascii="Arial" w:eastAsia="Arial" w:hAnsi="Arial" w:cs="Arial"/>
                <w:i/>
                <w:iCs/>
                <w:rtl w:val="0"/>
              </w:rPr>
              <w:t>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rFonts w:ascii="Arial" w:eastAsia="Arial" w:hAnsi="Arial" w:cs="Arial"/>
          <w:b/>
          <w:bCs/>
          <w:sz w:val="24"/>
          <w:rtl w:val="0"/>
        </w:rPr>
        <w:t>QUYẾT ĐỊNH</w:t>
      </w:r>
      <w:bookmarkEnd w:id="0"/>
    </w:p>
    <w:p>
      <w:pPr>
        <w:bidi w:val="0"/>
        <w:spacing w:before="120" w:beforeAutospacing="0" w:after="280" w:afterAutospacing="1"/>
        <w:jc w:val="center"/>
      </w:pPr>
      <w:bookmarkStart w:id="1" w:name="loai_1_name"/>
      <w:r>
        <w:rPr>
          <w:rFonts w:ascii="Arial" w:eastAsia="Arial" w:hAnsi="Arial" w:cs="Arial"/>
          <w:b w:val="0"/>
          <w:bCs/>
          <w:rtl w:val="0"/>
        </w:rPr>
        <w:t>BAN HÀNH DANH MỤC PHẾ LIỆU ĐƯỢC PHÉP NHẬP KHẨU TỪ NƯỚC NGOÀI LÀM NGUYÊN LIỆU SẢN XUẤT</w:t>
      </w:r>
      <w:bookmarkEnd w:id="1"/>
    </w:p>
    <w:p>
      <w:pPr>
        <w:bidi w:val="0"/>
        <w:spacing w:before="120" w:beforeAutospacing="0" w:after="280" w:afterAutospacing="1"/>
      </w:pPr>
      <w:r>
        <w:rPr>
          <w:rFonts w:ascii="Arial" w:eastAsia="Arial" w:hAnsi="Arial" w:cs="Arial"/>
          <w:i/>
          <w:iCs/>
          <w:rtl w:val="0"/>
        </w:rPr>
        <w:t xml:space="preserve">Căn cứ </w:t>
      </w:r>
      <w:bookmarkStart w:id="2" w:name="tvpllink_jofmpsyqcp"/>
      <w:r>
        <w:rPr>
          <w:rFonts w:ascii="Arial" w:eastAsia="Arial" w:hAnsi="Arial" w:cs="Arial"/>
          <w:i/>
          <w:iCs/>
          <w:rtl w:val="0"/>
        </w:rPr>
        <w:t>Luật Tổ chức Chính phủ</w:t>
      </w:r>
      <w:bookmarkEnd w:id="2"/>
      <w:r>
        <w:rPr>
          <w:rFonts w:ascii="Arial" w:eastAsia="Arial" w:hAnsi="Arial" w:cs="Arial"/>
          <w:i/>
          <w:iCs/>
          <w:rtl w:val="0"/>
        </w:rPr>
        <w:t xml:space="preserve"> ngày 19 tháng 6 năm 2015; </w:t>
      </w:r>
      <w:bookmarkStart w:id="3" w:name="tvpllink_cdgudmonqm"/>
      <w:r>
        <w:rPr>
          <w:rFonts w:ascii="Arial" w:eastAsia="Arial" w:hAnsi="Arial" w:cs="Arial"/>
          <w:i/>
          <w:iCs/>
          <w:rtl w:val="0"/>
        </w:rPr>
        <w:t>Luật sửa đổi, bổ sung một số điều của Luật Tổ chức Chính phủ và Luật Tổ chức chính quyền địa phương</w:t>
      </w:r>
      <w:bookmarkEnd w:id="3"/>
      <w:r>
        <w:rPr>
          <w:rFonts w:ascii="Arial" w:eastAsia="Arial" w:hAnsi="Arial" w:cs="Arial"/>
          <w:i/>
          <w:iCs/>
          <w:rtl w:val="0"/>
        </w:rPr>
        <w:t xml:space="preserve"> ngày 22 tháng 11 năm 2019;</w:t>
      </w:r>
    </w:p>
    <w:p>
      <w:pPr>
        <w:bidi w:val="0"/>
        <w:spacing w:before="120" w:beforeAutospacing="0" w:after="280" w:afterAutospacing="1"/>
      </w:pPr>
      <w:r>
        <w:rPr>
          <w:rFonts w:ascii="Arial" w:eastAsia="Arial" w:hAnsi="Arial" w:cs="Arial"/>
          <w:i/>
          <w:iCs/>
          <w:rtl w:val="0"/>
        </w:rPr>
        <w:t xml:space="preserve">Căn cứ </w:t>
      </w:r>
      <w:bookmarkStart w:id="4" w:name="tvpllink_copweixcnx"/>
      <w:r>
        <w:rPr>
          <w:rFonts w:ascii="Arial" w:eastAsia="Arial" w:hAnsi="Arial" w:cs="Arial"/>
          <w:i/>
          <w:iCs/>
          <w:rtl w:val="0"/>
        </w:rPr>
        <w:t>Luật Bảo vệ môi trường</w:t>
      </w:r>
      <w:bookmarkEnd w:id="4"/>
      <w:r>
        <w:rPr>
          <w:rFonts w:ascii="Arial" w:eastAsia="Arial" w:hAnsi="Arial" w:cs="Arial"/>
          <w:i/>
          <w:iCs/>
          <w:rtl w:val="0"/>
        </w:rPr>
        <w:t xml:space="preserve"> ngày 17 tháng 11 năm 2020;</w:t>
      </w:r>
    </w:p>
    <w:p>
      <w:pPr>
        <w:bidi w:val="0"/>
        <w:spacing w:before="120" w:beforeAutospacing="0" w:after="280" w:afterAutospacing="1"/>
      </w:pPr>
      <w:r>
        <w:rPr>
          <w:rFonts w:ascii="Arial" w:eastAsia="Arial" w:hAnsi="Arial" w:cs="Arial"/>
          <w:i/>
          <w:iCs/>
          <w:rtl w:val="0"/>
        </w:rPr>
        <w:t xml:space="preserve">Căn cứ Nghị định số </w:t>
      </w:r>
      <w:bookmarkStart w:id="5" w:name="tvpllink_lafnlpwvrf"/>
      <w:r>
        <w:rPr>
          <w:rFonts w:ascii="Arial" w:eastAsia="Arial" w:hAnsi="Arial" w:cs="Arial"/>
          <w:i/>
          <w:iCs/>
          <w:rtl w:val="0"/>
        </w:rPr>
        <w:t>08/2022/NĐ-CP</w:t>
      </w:r>
      <w:bookmarkEnd w:id="5"/>
      <w:r>
        <w:rPr>
          <w:rFonts w:ascii="Arial" w:eastAsia="Arial" w:hAnsi="Arial" w:cs="Arial"/>
          <w:i/>
          <w:iCs/>
          <w:rtl w:val="0"/>
        </w:rPr>
        <w:t xml:space="preserve"> ngày 10 tháng 01 năm 2022 của Chính phủ quy định chi tiết một số điều của </w:t>
      </w:r>
      <w:bookmarkStart w:id="6" w:name="tvpllink_copweixcnx_1"/>
      <w:r>
        <w:rPr>
          <w:rFonts w:ascii="Arial" w:eastAsia="Arial" w:hAnsi="Arial" w:cs="Arial"/>
          <w:i/>
          <w:iCs/>
          <w:rtl w:val="0"/>
        </w:rPr>
        <w:t>Luật Bảo vệ môi trường</w:t>
      </w:r>
      <w:bookmarkEnd w:id="6"/>
      <w:r>
        <w:rPr>
          <w:rFonts w:ascii="Arial" w:eastAsia="Arial" w:hAnsi="Arial" w:cs="Arial"/>
          <w:i/>
          <w:iCs/>
          <w:rtl w:val="0"/>
        </w:rPr>
        <w:t>;</w:t>
      </w:r>
    </w:p>
    <w:p>
      <w:pPr>
        <w:bidi w:val="0"/>
        <w:spacing w:before="120" w:beforeAutospacing="0" w:after="280" w:afterAutospacing="1"/>
      </w:pPr>
      <w:r>
        <w:rPr>
          <w:rFonts w:ascii="Arial" w:eastAsia="Arial" w:hAnsi="Arial" w:cs="Arial"/>
          <w:i/>
          <w:iCs/>
          <w:rtl w:val="0"/>
        </w:rPr>
        <w:t>Theo đề nghị của Bộ trưởng Bộ Tài nguyên và Môi trường;</w:t>
      </w:r>
    </w:p>
    <w:p>
      <w:pPr>
        <w:bidi w:val="0"/>
        <w:spacing w:before="120" w:beforeAutospacing="0" w:after="280" w:afterAutospacing="1"/>
      </w:pPr>
      <w:r>
        <w:rPr>
          <w:rFonts w:ascii="Arial" w:eastAsia="Arial" w:hAnsi="Arial" w:cs="Arial"/>
          <w:i/>
          <w:iCs/>
          <w:rtl w:val="0"/>
        </w:rPr>
        <w:t>Thủ tướng Chính phủ ban hành Quyết định Danh mục phế liệu được phép nhập khẩu từ nước ngoài làm nguyên liệu sản xuất.</w:t>
      </w:r>
    </w:p>
    <w:p>
      <w:pPr>
        <w:bidi w:val="0"/>
        <w:spacing w:before="120" w:beforeAutospacing="0" w:after="280" w:afterAutospacing="1"/>
      </w:pPr>
      <w:bookmarkStart w:id="7" w:name="dieu_1"/>
      <w:r>
        <w:rPr>
          <w:rFonts w:ascii="Arial" w:eastAsia="Arial" w:hAnsi="Arial" w:cs="Arial"/>
          <w:b/>
          <w:bCs/>
          <w:rtl w:val="0"/>
        </w:rPr>
        <w:t xml:space="preserve">Điều 1. </w:t>
      </w:r>
      <w:r>
        <w:rPr>
          <w:rtl w:val="0"/>
        </w:rPr>
        <w:t>Ban hành kèm theo Quyết định này Danh mục phế liệu được phép nhập khẩu từ nước ngoài làm nguyên liệu sản xuất.</w:t>
      </w:r>
      <w:bookmarkEnd w:id="7"/>
    </w:p>
    <w:p>
      <w:pPr>
        <w:bidi w:val="0"/>
        <w:spacing w:before="120" w:beforeAutospacing="0" w:after="280" w:afterAutospacing="1"/>
      </w:pPr>
      <w:bookmarkStart w:id="8" w:name="dieu_2"/>
      <w:r>
        <w:rPr>
          <w:rFonts w:ascii="Arial" w:eastAsia="Arial" w:hAnsi="Arial" w:cs="Arial"/>
          <w:b/>
          <w:bCs/>
          <w:rtl w:val="0"/>
        </w:rPr>
        <w:t xml:space="preserve">Điều 2. </w:t>
      </w:r>
      <w:r>
        <w:rPr>
          <w:rtl w:val="0"/>
        </w:rPr>
        <w:t>Tổ chức, cá nhân trực tiếp nhập khẩu phế liệu làm nguyên liệu sản xuất chỉ được nhập khẩu phế liệu làm nguyên liệu sản xuất cho cơ sở của mình theo đúng công suất thiết kế để sản xuất ra các sản phẩm, hàng hóa.</w:t>
      </w:r>
      <w:bookmarkEnd w:id="8"/>
    </w:p>
    <w:p>
      <w:pPr>
        <w:bidi w:val="0"/>
        <w:spacing w:before="120" w:beforeAutospacing="0" w:after="280" w:afterAutospacing="1"/>
      </w:pPr>
      <w:bookmarkStart w:id="9" w:name="dieu_3"/>
      <w:r>
        <w:rPr>
          <w:rFonts w:ascii="Arial" w:eastAsia="Arial" w:hAnsi="Arial" w:cs="Arial"/>
          <w:b/>
          <w:bCs/>
          <w:rtl w:val="0"/>
        </w:rPr>
        <w:t>Điều 3. Điều khoản chuyển tiếp</w:t>
      </w:r>
      <w:bookmarkEnd w:id="9"/>
    </w:p>
    <w:p>
      <w:pPr>
        <w:bidi w:val="0"/>
        <w:spacing w:before="120" w:beforeAutospacing="0" w:after="280" w:afterAutospacing="1"/>
      </w:pPr>
      <w:r>
        <w:rPr>
          <w:rtl w:val="0"/>
        </w:rPr>
        <w:t>1. Phế liệu giấy có mã HS 4707 90 00 được phép nhập khẩu từ nước ngoài theo giấy phép môi trường thành phần (Giấy xác nhận đủ điều kiện về bảo vệ môi trường trong nhập khẩu phế liệu làm nguyên liệu sản xuất) đã được cơ quan có thẩm quyền cấp trước ngày Quyết định này có hiệu lực thi hành được tiếp tục nhập khẩu đến hết hiệu lực của giấy phép môi trường thành phần.</w:t>
      </w:r>
    </w:p>
    <w:p>
      <w:pPr>
        <w:bidi w:val="0"/>
        <w:spacing w:before="120" w:beforeAutospacing="0" w:after="280" w:afterAutospacing="1"/>
      </w:pPr>
      <w:r>
        <w:rPr>
          <w:rtl w:val="0"/>
        </w:rPr>
        <w:t>2. Các phế liệu và mẩu vụn của nhựa có mã HS 3915 90 00 được phép nhập khẩu từ nước ngoài theo giấy phép môi trường thành phần hoặc giấy phép môi trường đã được cơ quan có thẩm quyền cấp trước ngày Quyết định này có hiệu lực thi hành được tiếp tục nhập khẩu đến hết hiệu lực của giấy phép môi trường thành phần hoặc giấy phép môi trường theo các mã HS tương ứng quy định tại Mục 2.3 hoặc Mục 2.5 trong Danh mục phế liệu được phép nhập khẩu từ nước ngoài làm nguyên liệu sản xuất ban hành kèm theo Quyết định này.</w:t>
      </w:r>
    </w:p>
    <w:p>
      <w:pPr>
        <w:bidi w:val="0"/>
        <w:spacing w:before="120" w:beforeAutospacing="0" w:after="280" w:afterAutospacing="1"/>
      </w:pPr>
      <w:r>
        <w:rPr>
          <w:rtl w:val="0"/>
        </w:rPr>
        <w:t>3. Các loại phế liệu được phép nhập khẩu từ nước ngoài theo giấy phép môi trường thành phần hoặc giấy phép môi trường đã được cơ quan có thẩm quyền cấp trước ngày Quyết định này có hiệu lực thi hành có tên gọi khác (nhưng mã HS không thay đổi) so với Quyết định này thì được tiếp tục nhập khẩu đến hết hiệu lực của giấy phép môi trường hoặc giấy phép môi trường thành phần.</w:t>
      </w:r>
    </w:p>
    <w:p>
      <w:pPr>
        <w:bidi w:val="0"/>
        <w:spacing w:before="120" w:beforeAutospacing="0" w:after="280" w:afterAutospacing="1"/>
      </w:pPr>
      <w:bookmarkStart w:id="10" w:name="dieu_4"/>
      <w:r>
        <w:rPr>
          <w:rFonts w:ascii="Arial" w:eastAsia="Arial" w:hAnsi="Arial" w:cs="Arial"/>
          <w:b/>
          <w:bCs/>
          <w:rtl w:val="0"/>
        </w:rPr>
        <w:t>Điều 4. Điều khoản thi hành</w:t>
      </w:r>
      <w:bookmarkEnd w:id="10"/>
    </w:p>
    <w:p>
      <w:pPr>
        <w:bidi w:val="0"/>
        <w:spacing w:before="120" w:beforeAutospacing="0" w:after="280" w:afterAutospacing="1"/>
      </w:pPr>
      <w:r>
        <w:rPr>
          <w:rtl w:val="0"/>
        </w:rPr>
        <w:t xml:space="preserve">1. Quyết định này có hiệu lực thi hành từ ngày 01 tháng 6 năm 2023 và thay thế Quyết định số </w:t>
      </w:r>
      <w:bookmarkStart w:id="11" w:name="tvpllink_oqjblysdil"/>
      <w:r>
        <w:rPr>
          <w:rtl w:val="0"/>
        </w:rPr>
        <w:t>28/2020/QĐ-TTg</w:t>
      </w:r>
      <w:bookmarkEnd w:id="11"/>
      <w:r>
        <w:rPr>
          <w:rtl w:val="0"/>
        </w:rPr>
        <w:t xml:space="preserve"> ngày 24 tháng 9 năm 2020 của Thủ tướng Chính phủ ban hành Danh mục phế liệu được phép nhập khẩu từ nước ngoài làm nguyên liệu sản xuất.</w:t>
      </w:r>
    </w:p>
    <w:p>
      <w:pPr>
        <w:bidi w:val="0"/>
        <w:spacing w:before="120" w:beforeAutospacing="0" w:after="280" w:afterAutospacing="1"/>
      </w:pPr>
      <w:r>
        <w:rPr>
          <w:rtl w:val="0"/>
        </w:rPr>
        <w:t>2. Kể từ ngày Quyết định này có hiệu lực thi hành, việc nhập khẩu xỉ hạt nhỏ (xỉ cát) từ công nghiệp luyện sắt hoặc thép (có mã HS 2618 00 00) làm nguyên liệu sản xuất xi măng được thực hiện theo quy định của pháp luật sản phẩm, hàng hóa về vật liệu xây dựng.</w:t>
      </w:r>
    </w:p>
    <w:p>
      <w:pPr>
        <w:bidi w:val="0"/>
        <w:spacing w:before="120" w:beforeAutospacing="0" w:after="280" w:afterAutospacing="1"/>
      </w:pPr>
      <w:r>
        <w:rPr>
          <w:rtl w:val="0"/>
        </w:rPr>
        <w:t>3. Các Bộ trưởng, Thủ trưởng cơ quan ngang bộ, Thủ trưởng cơ quan thuộc Chính phủ, Chủ tịch Ủy ban nhân dân tỉnh, thành phố trực thuộc trung ương và các tổ chức, cá nhân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659"/>
        <w:gridCol w:w="3981"/>
      </w:tblGrid>
      <w:tr>
        <w:tblPrEx>
          <w:tblW w:w="5000" w:type="pct"/>
          <w:jc w:val="left"/>
          <w:tblCellMar>
            <w:top w:w="0" w:type="dxa"/>
            <w:left w:w="0" w:type="dxa"/>
            <w:bottom w:w="0" w:type="dxa"/>
            <w:right w:w="0" w:type="dxa"/>
          </w:tblCellMar>
        </w:tblPrEx>
        <w:trPr>
          <w:jc w:val="left"/>
        </w:trPr>
        <w:tc>
          <w:tcPr>
            <w:tcW w:w="2696"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cùa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w:t>
            </w:r>
          </w:p>
        </w:tc>
        <w:tc>
          <w:tcPr>
            <w:tcW w:w="2304" w:type="pct"/>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KT. THỦ TƯỚNG</w:t>
            </w:r>
            <w:r>
              <w:rPr>
                <w:rtl w:val="0"/>
              </w:rPr>
              <w:br/>
            </w:r>
            <w:r>
              <w:rPr>
                <w:rFonts w:ascii="Arial" w:eastAsia="Arial" w:hAnsi="Arial" w:cs="Arial"/>
                <w:b/>
                <w:bCs/>
                <w:rtl w:val="0"/>
              </w:rPr>
              <w:t>PHÓ THỦ TƯỚNG</w:t>
            </w:r>
            <w:r>
              <w:rPr>
                <w:rtl w:val="0"/>
              </w:rPr>
              <w:br/>
            </w:r>
            <w:r>
              <w:rPr>
                <w:rtl w:val="0"/>
              </w:rPr>
              <w:br/>
            </w:r>
            <w:r>
              <w:rPr>
                <w:rtl w:val="0"/>
              </w:rPr>
              <w:br/>
            </w:r>
            <w:r>
              <w:rPr>
                <w:rtl w:val="0"/>
              </w:rPr>
              <w:br/>
            </w:r>
            <w:r>
              <w:rPr>
                <w:rtl w:val="0"/>
              </w:rPr>
              <w:br/>
            </w:r>
            <w:r>
              <w:rPr>
                <w:rFonts w:ascii="Arial" w:eastAsia="Arial" w:hAnsi="Arial" w:cs="Arial"/>
                <w:b/>
                <w:bCs/>
                <w:rtl w:val="0"/>
              </w:rPr>
              <w:t>Lê Minh Khái</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2" w:name="chuong_pl"/>
      <w:r>
        <w:rPr>
          <w:rFonts w:ascii="Arial" w:eastAsia="Arial" w:hAnsi="Arial" w:cs="Arial"/>
          <w:b/>
          <w:bCs/>
          <w:sz w:val="24"/>
          <w:rtl w:val="0"/>
        </w:rPr>
        <w:t>DANH MỤC</w:t>
      </w:r>
      <w:bookmarkEnd w:id="12"/>
    </w:p>
    <w:p>
      <w:pPr>
        <w:bidi w:val="0"/>
        <w:spacing w:before="120" w:beforeAutospacing="0" w:after="280" w:afterAutospacing="1"/>
        <w:jc w:val="center"/>
      </w:pPr>
      <w:bookmarkStart w:id="13" w:name="chuong_pl_name"/>
      <w:r>
        <w:rPr>
          <w:rFonts w:ascii="Arial" w:eastAsia="Arial" w:hAnsi="Arial" w:cs="Arial"/>
          <w:b w:val="0"/>
          <w:bCs/>
          <w:rtl w:val="0"/>
        </w:rPr>
        <w:t>PHẾ LIỆU ĐƯỢC PHÉP NHẬP KHẨU TỪ NƯỚC NGOÀI LÀM NGUYÊN LIỆU SẢN XUẤT</w:t>
      </w:r>
      <w:bookmarkEnd w:id="13"/>
      <w:r>
        <w:rPr>
          <w:rtl w:val="0"/>
        </w:rPr>
        <w:br/>
      </w:r>
      <w:r>
        <w:rPr>
          <w:rFonts w:ascii="Arial" w:eastAsia="Arial" w:hAnsi="Arial" w:cs="Arial"/>
          <w:i/>
          <w:iCs/>
          <w:rtl w:val="0"/>
        </w:rPr>
        <w:t>(Kèm theo Quyết định số 13/2023/QĐ-TTg ngày 22 tháng 5 năm 2023 của Thủ tướng Chính phủ)</w:t>
      </w:r>
    </w:p>
    <w:tbl>
      <w:tblPr>
        <w:tblW w:w="5000" w:type="pct"/>
        <w:jc w:val="left"/>
        <w:tblCellMar>
          <w:top w:w="0" w:type="dxa"/>
          <w:left w:w="0" w:type="dxa"/>
          <w:bottom w:w="0" w:type="dxa"/>
          <w:right w:w="0" w:type="dxa"/>
        </w:tblCellMar>
      </w:tblPr>
      <w:tblGrid>
        <w:gridCol w:w="807"/>
        <w:gridCol w:w="5094"/>
        <w:gridCol w:w="1054"/>
        <w:gridCol w:w="878"/>
        <w:gridCol w:w="807"/>
      </w:tblGrid>
      <w:tr>
        <w:tblPrEx>
          <w:tblW w:w="5000" w:type="pct"/>
          <w:jc w:val="left"/>
          <w:tblCellMar>
            <w:top w:w="0" w:type="dxa"/>
            <w:left w:w="0" w:type="dxa"/>
            <w:bottom w:w="0" w:type="dxa"/>
            <w:right w:w="0" w:type="dxa"/>
          </w:tblCellMar>
        </w:tblPrEx>
        <w:trPr>
          <w:jc w:val="left"/>
        </w:trPr>
        <w:tc>
          <w:tcPr>
            <w:tcW w:w="46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TT</w:t>
            </w:r>
          </w:p>
        </w:tc>
        <w:tc>
          <w:tcPr>
            <w:tcW w:w="294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Tên phế liệu</w:t>
            </w:r>
          </w:p>
        </w:tc>
        <w:tc>
          <w:tcPr>
            <w:tcW w:w="1585"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Mã HS</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1</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Phế liệu sắt, thép, gang</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1.1</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gang đúc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7204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1.2</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thép hợp kim: Bằng thép không gỉ</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7204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21</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1.3</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thép hợp kim: Loại khác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7204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29</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1.4</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sắt hoặc thép tráng thiếc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7204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1.5</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khác: Phoi tiện, phoi bào, mảnh vỡ, vảy cán, mạt cưa, mạt giũa, phoi cắt và bavia, đã hoặc chưa được ép thành khối hoặc đóng thành kiện, bánh, bó</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7204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41</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1.6</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khác: Loại khác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7204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49</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2</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Phế liệu và mẩu vụn của nhựa (plastic)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2.1</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các polyme từ etylen: Dạng xốp, không cứng</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2.2</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các polyme từ etylen: Loại khác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2.3</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các polyme từ styren: Loại khác: Polyme Styren (PS), Acrylonitrin Butadien Styren (ABS); High Impact Polystyrene (HIPS); Expanded Polystyrene (EPS)</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20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2.4</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các polyme từ vinyl clorua: Loại khác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67"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2.5</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plastic khác: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poly (etylene terephthalate) (PET)</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polypropylene (PP)</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20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Từ polycarbonate (PC)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Loại khác: Polyamit (PA); Poly Oxy Methylene (POM); Poly Methyl Methacrylate (PMMA); Thermoplastic Polyurethanes (TPU); Ethylene Vinyl Acetate (EVA); Nhựa Silicon loại ra từ quá trình sản xuất và chưa qua sử dụng</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3915</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3</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Phế liệu giấy</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3.1</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Giấy kraft hoặc bìa kraft hoặc giấy hoặc bìa sóng, chưa tẩy trắng</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4707</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3.2</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Giấy hoặc bìa khác được làm chủ yếu bằng bột giấy thu được từ quá trình hóa học đã tẩy trắng, chưa nhuộm màu toàn bộ</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4707</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20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3.3</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Giấy hoặc bìa được làm chủ yếu bằng bột giấy thu được từ quá trình cơ học (ví dụ, giấy in báo, tạp chí và các ấn phẩm tương tự)</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4707</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30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4</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Phế liệu thủy tinh</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4.1</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Thủy tinh vụn và thủy tinh phế liệu và mảnh vụn khác, trừ thủy tinh từ ống đèn tia âm cực hoặc thủy tinh hoạt tính khác thuộc nhóm 85.49</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7001</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5</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rtl w:val="0"/>
              </w:rPr>
              <w:t>Phế liệu kim loại màu</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5.1</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đồng</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7404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5.2</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Phê liệu và mảnh vụn của niken</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7503</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5.3</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nhôm</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7602</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5.4</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kẽm</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7902</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5.5</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thiếc</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8002</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5.6</w:t>
            </w:r>
          </w:p>
        </w:tc>
        <w:tc>
          <w:tcPr>
            <w:tcW w:w="294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Phế liệu và mảnh vụn của mangan</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8111</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00</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10</w:t>
            </w:r>
          </w:p>
        </w:tc>
      </w:tr>
    </w:tbl>
    <w:p>
      <w:pPr>
        <w:bidi w:val="0"/>
        <w:spacing w:before="120" w:beforeAutospacing="0" w:after="280" w:afterAutospacing="1"/>
      </w:pPr>
      <w:r>
        <w:rPr>
          <w:rFonts w:ascii="Arial" w:eastAsia="Arial" w:hAnsi="Arial" w:cs="Arial"/>
          <w:b/>
          <w:bCs/>
          <w:i/>
          <w:iCs/>
          <w:rtl w:val="0"/>
        </w:rPr>
        <w:t>Ghi chú:</w:t>
      </w:r>
      <w:r>
        <w:rPr>
          <w:i/>
          <w:iCs/>
          <w:rtl w:val="0"/>
        </w:rPr>
        <w:t xml:space="preserve"> </w:t>
      </w:r>
      <w:r>
        <w:rPr>
          <w:rtl w:val="0"/>
        </w:rPr>
        <w:t>Mã hóa hàng hóa (mã HS) trong Danh mục này được sử dụng theo Danh mục hàng hóa xuất khẩu, nhập khẩu Việt Nam.</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