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BỘ CÔNG THƯƠNG</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1182/QĐ-BCT</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xml:space="preserve">Hà Nội, ngày 06 tháng 4 năm 2021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pPr>
      <w:bookmarkStart w:id="1" w:name="loai_1_name"/>
      <w:r>
        <w:rPr>
          <w:rtl w:val="0"/>
        </w:rPr>
        <w:t>VỀ VIỆC BAN HÀNH DANH MỤC CÁC MẶT HÀNG NHẬP KHẨU (KÈM THEO MÃ HS) THỰC HIỆN KIỂM TRA CHUYÊN NGÀNH THUỘC TRÁCH NHIỆM QUẢN LÝ CỦA BỘ CÔNG THƯƠNG</w:t>
      </w:r>
      <w:bookmarkEnd w:id="1"/>
    </w:p>
    <w:p>
      <w:pPr>
        <w:bidi w:val="0"/>
        <w:spacing w:before="120" w:beforeAutospacing="0" w:after="280" w:afterAutospacing="1"/>
        <w:jc w:val="center"/>
      </w:pPr>
      <w:r>
        <w:rPr>
          <w:b/>
          <w:bCs/>
          <w:sz w:val="24"/>
          <w:rtl w:val="0"/>
        </w:rPr>
        <w:t>BỘ TRƯỞNG BỘ CÔNG THƯƠNG</w:t>
      </w:r>
    </w:p>
    <w:p>
      <w:pPr>
        <w:bidi w:val="0"/>
        <w:spacing w:before="120" w:beforeAutospacing="0" w:after="280" w:afterAutospacing="1"/>
      </w:pPr>
      <w:r>
        <w:rPr>
          <w:i/>
          <w:iCs/>
          <w:rtl w:val="0"/>
        </w:rPr>
        <w:t xml:space="preserve">Căn cứ </w:t>
      </w:r>
      <w:bookmarkStart w:id="2" w:name="tvpllink_mhyivazsmk"/>
      <w:r>
        <w:rPr>
          <w:i/>
          <w:iCs/>
          <w:rtl w:val="0"/>
        </w:rPr>
        <w:t>Luật Chất lượng sản phẩm, hàng hóa</w:t>
      </w:r>
      <w:bookmarkEnd w:id="2"/>
      <w:r>
        <w:rPr>
          <w:i/>
          <w:iCs/>
          <w:rtl w:val="0"/>
        </w:rPr>
        <w:t xml:space="preserve"> ngày 21 tháng 11 năm 2007;</w:t>
      </w:r>
    </w:p>
    <w:p>
      <w:pPr>
        <w:bidi w:val="0"/>
        <w:spacing w:before="120" w:beforeAutospacing="0" w:after="280" w:afterAutospacing="1"/>
      </w:pPr>
      <w:r>
        <w:rPr>
          <w:i/>
          <w:iCs/>
          <w:rtl w:val="0"/>
        </w:rPr>
        <w:t xml:space="preserve">Căn cứ </w:t>
      </w:r>
      <w:bookmarkStart w:id="3" w:name="tvpllink_vjbahvagkq"/>
      <w:r>
        <w:rPr>
          <w:i/>
          <w:iCs/>
          <w:rtl w:val="0"/>
        </w:rPr>
        <w:t>Luật An toàn thực phẩm</w:t>
      </w:r>
      <w:bookmarkEnd w:id="3"/>
      <w:r>
        <w:rPr>
          <w:i/>
          <w:iCs/>
          <w:rtl w:val="0"/>
        </w:rPr>
        <w:t xml:space="preserve"> ngày 17 tháng 6 năm 2010;</w:t>
      </w:r>
    </w:p>
    <w:p>
      <w:pPr>
        <w:bidi w:val="0"/>
        <w:spacing w:before="120" w:beforeAutospacing="0" w:after="280" w:afterAutospacing="1"/>
      </w:pPr>
      <w:r>
        <w:rPr>
          <w:i/>
          <w:iCs/>
          <w:rtl w:val="0"/>
        </w:rPr>
        <w:t xml:space="preserve">Căn cứ </w:t>
      </w:r>
      <w:bookmarkStart w:id="4" w:name="tvpllink_sbfjqtpthu"/>
      <w:r>
        <w:rPr>
          <w:i/>
          <w:iCs/>
          <w:rtl w:val="0"/>
        </w:rPr>
        <w:t>Luật Sử dụng năng lượng tiết kiệm và hiệu quả</w:t>
      </w:r>
      <w:bookmarkEnd w:id="4"/>
      <w:r>
        <w:rPr>
          <w:i/>
          <w:iCs/>
          <w:rtl w:val="0"/>
        </w:rPr>
        <w:t xml:space="preserve"> ngày 17 tháng 6 năm 2010;</w:t>
      </w:r>
    </w:p>
    <w:p>
      <w:pPr>
        <w:bidi w:val="0"/>
        <w:spacing w:before="120" w:beforeAutospacing="0" w:after="280" w:afterAutospacing="1"/>
      </w:pPr>
      <w:r>
        <w:rPr>
          <w:i/>
          <w:iCs/>
          <w:rtl w:val="0"/>
        </w:rPr>
        <w:t xml:space="preserve">Căn cứ </w:t>
      </w:r>
      <w:bookmarkStart w:id="5" w:name="tvpllink_pugiufdkvo"/>
      <w:r>
        <w:rPr>
          <w:i/>
          <w:iCs/>
          <w:rtl w:val="0"/>
        </w:rPr>
        <w:t>Luật Quản lý ngoại thương</w:t>
      </w:r>
      <w:bookmarkEnd w:id="5"/>
      <w:r>
        <w:rPr>
          <w:i/>
          <w:iCs/>
          <w:rtl w:val="0"/>
        </w:rPr>
        <w:t xml:space="preserve"> ngày 12 tháng 6 năm 2017;</w:t>
      </w:r>
    </w:p>
    <w:p>
      <w:pPr>
        <w:bidi w:val="0"/>
        <w:spacing w:before="120" w:beforeAutospacing="0" w:after="280" w:afterAutospacing="1"/>
      </w:pPr>
      <w:r>
        <w:rPr>
          <w:i/>
          <w:iCs/>
          <w:rtl w:val="0"/>
        </w:rPr>
        <w:t xml:space="preserve">Căn cứ Nghị định số </w:t>
      </w:r>
      <w:bookmarkStart w:id="6" w:name="tvpllink_chrxzdmrcl"/>
      <w:r>
        <w:rPr>
          <w:i/>
          <w:iCs/>
          <w:rtl w:val="0"/>
        </w:rPr>
        <w:t>98/2017/NĐ-CP</w:t>
      </w:r>
      <w:bookmarkEnd w:id="6"/>
      <w:r>
        <w:rPr>
          <w:i/>
          <w:iCs/>
          <w:rtl w:val="0"/>
        </w:rPr>
        <w:t xml:space="preserve"> ngày 18 tháng 8 năm 2017 của Chính phủ quy định chức năng, nhiệm vụ, quyền hạn và cơ cấu tổ chức của Bộ Công Thương;</w:t>
      </w:r>
    </w:p>
    <w:p>
      <w:pPr>
        <w:bidi w:val="0"/>
        <w:spacing w:before="120" w:beforeAutospacing="0" w:after="280" w:afterAutospacing="1"/>
      </w:pPr>
      <w:r>
        <w:rPr>
          <w:i/>
          <w:iCs/>
          <w:rtl w:val="0"/>
        </w:rPr>
        <w:t xml:space="preserve">Căn cứ Nghị định số </w:t>
      </w:r>
      <w:bookmarkStart w:id="7" w:name="tvpllink_vovtfdkusr"/>
      <w:r>
        <w:rPr>
          <w:i/>
          <w:iCs/>
          <w:rtl w:val="0"/>
        </w:rPr>
        <w:t>132/2008/NĐ-CP</w:t>
      </w:r>
      <w:bookmarkEnd w:id="7"/>
      <w:r>
        <w:rPr>
          <w:i/>
          <w:iCs/>
          <w:rtl w:val="0"/>
        </w:rPr>
        <w:t xml:space="preserve"> ngày 31 tháng 12 năm 2008 của Chính phủ quy định chi tiết một số điều của </w:t>
      </w:r>
      <w:bookmarkStart w:id="8" w:name="tvpllink_mhyivazsmk_1"/>
      <w:r>
        <w:rPr>
          <w:i/>
          <w:iCs/>
          <w:rtl w:val="0"/>
        </w:rPr>
        <w:t>Luật Chất lượng sản phẩm, hàng hóa</w:t>
      </w:r>
      <w:bookmarkEnd w:id="8"/>
      <w:r>
        <w:rPr>
          <w:i/>
          <w:iCs/>
          <w:rtl w:val="0"/>
        </w:rPr>
        <w:t xml:space="preserve">, được sửa đổi, bổ sung một số điều tại Nghị định số </w:t>
      </w:r>
      <w:bookmarkStart w:id="9" w:name="tvpllink_xxwszepzyj"/>
      <w:r>
        <w:rPr>
          <w:i/>
          <w:iCs/>
          <w:rtl w:val="0"/>
        </w:rPr>
        <w:t>74/2018/NĐ-CP</w:t>
      </w:r>
      <w:bookmarkEnd w:id="9"/>
      <w:r>
        <w:rPr>
          <w:i/>
          <w:iCs/>
          <w:rtl w:val="0"/>
        </w:rPr>
        <w:t xml:space="preserve"> ngày 15 tháng 05 năm 2018 và Nghị định số </w:t>
      </w:r>
      <w:bookmarkStart w:id="10" w:name="tvpllink_hvrfspvaca"/>
      <w:r>
        <w:rPr>
          <w:i/>
          <w:iCs/>
          <w:rtl w:val="0"/>
        </w:rPr>
        <w:t>154/2018/NĐ-CP</w:t>
      </w:r>
      <w:bookmarkEnd w:id="10"/>
      <w:r>
        <w:rPr>
          <w:i/>
          <w:iCs/>
          <w:rtl w:val="0"/>
        </w:rPr>
        <w:t xml:space="preserve"> ngày 09 tháng 11 năm 2018 của Chính phủ;</w:t>
      </w:r>
    </w:p>
    <w:p>
      <w:pPr>
        <w:bidi w:val="0"/>
        <w:spacing w:before="120" w:beforeAutospacing="0" w:after="280" w:afterAutospacing="1"/>
      </w:pPr>
      <w:r>
        <w:rPr>
          <w:i/>
          <w:iCs/>
          <w:rtl w:val="0"/>
        </w:rPr>
        <w:t xml:space="preserve">Căn cứ Nghị định số </w:t>
      </w:r>
      <w:bookmarkStart w:id="11" w:name="tvpllink_efdyvsnjgi"/>
      <w:r>
        <w:rPr>
          <w:i/>
          <w:iCs/>
          <w:rtl w:val="0"/>
        </w:rPr>
        <w:t>15/2018/NĐ-CP</w:t>
      </w:r>
      <w:bookmarkEnd w:id="11"/>
      <w:r>
        <w:rPr>
          <w:i/>
          <w:iCs/>
          <w:rtl w:val="0"/>
        </w:rPr>
        <w:t xml:space="preserve"> ngày 02 tháng 02 năm 2018 của Chính phủ quy định chi tiết thi hành một số điều của </w:t>
      </w:r>
      <w:bookmarkStart w:id="12" w:name="tvpllink_vjbahvagkq_1"/>
      <w:r>
        <w:rPr>
          <w:i/>
          <w:iCs/>
          <w:rtl w:val="0"/>
        </w:rPr>
        <w:t>Luật An toàn thực phẩm</w:t>
      </w:r>
      <w:bookmarkEnd w:id="12"/>
      <w:r>
        <w:rPr>
          <w:i/>
          <w:iCs/>
          <w:rtl w:val="0"/>
        </w:rPr>
        <w:t>;</w:t>
      </w:r>
    </w:p>
    <w:p>
      <w:pPr>
        <w:bidi w:val="0"/>
        <w:spacing w:before="120" w:beforeAutospacing="0" w:after="280" w:afterAutospacing="1"/>
      </w:pPr>
      <w:r>
        <w:rPr>
          <w:i/>
          <w:iCs/>
          <w:rtl w:val="0"/>
        </w:rPr>
        <w:t xml:space="preserve">Căn cứ Nghị định số </w:t>
      </w:r>
      <w:bookmarkStart w:id="13" w:name="tvpllink_csewxueqph"/>
      <w:r>
        <w:rPr>
          <w:i/>
          <w:iCs/>
          <w:rtl w:val="0"/>
        </w:rPr>
        <w:t>69/2018/NĐ-CP</w:t>
      </w:r>
      <w:bookmarkEnd w:id="13"/>
      <w:r>
        <w:rPr>
          <w:i/>
          <w:iCs/>
          <w:rtl w:val="0"/>
        </w:rPr>
        <w:t xml:space="preserve"> ngày 15 tháng 5 năm 2018 quy định chi tiết một số điều của </w:t>
      </w:r>
      <w:bookmarkStart w:id="14" w:name="tvpllink_pugiufdkvo_1"/>
      <w:r>
        <w:rPr>
          <w:i/>
          <w:iCs/>
          <w:rtl w:val="0"/>
        </w:rPr>
        <w:t>Luật Quản lý ngoại thương</w:t>
      </w:r>
      <w:bookmarkEnd w:id="14"/>
      <w:r>
        <w:rPr>
          <w:i/>
          <w:iCs/>
          <w:rtl w:val="0"/>
        </w:rPr>
        <w:t>;</w:t>
      </w:r>
    </w:p>
    <w:p>
      <w:pPr>
        <w:bidi w:val="0"/>
        <w:spacing w:before="120" w:beforeAutospacing="0" w:after="280" w:afterAutospacing="1"/>
      </w:pPr>
      <w:r>
        <w:rPr>
          <w:i/>
          <w:iCs/>
          <w:rtl w:val="0"/>
        </w:rPr>
        <w:t xml:space="preserve">Căn cứ Nghị định số </w:t>
      </w:r>
      <w:bookmarkStart w:id="15" w:name="tvpllink_uilukcoatk"/>
      <w:r>
        <w:rPr>
          <w:i/>
          <w:iCs/>
          <w:rtl w:val="0"/>
        </w:rPr>
        <w:t>85/2019/NĐ-CP</w:t>
      </w:r>
      <w:bookmarkEnd w:id="15"/>
      <w:r>
        <w:rPr>
          <w:i/>
          <w:iCs/>
          <w:rtl w:val="0"/>
        </w:rPr>
        <w:t xml:space="preserve"> ngày 14 tháng 11 năm 2019 quy định thực hiện thủ tục hành chính theo cơ chế một cửa quốc gia, cơ chế một cửa ASEAN và kiểm tra chuyên ngành đối với hàng hóa xuất khẩu, nhập khẩu;</w:t>
      </w:r>
    </w:p>
    <w:p>
      <w:pPr>
        <w:bidi w:val="0"/>
        <w:spacing w:before="120" w:beforeAutospacing="0" w:after="280" w:afterAutospacing="1"/>
      </w:pPr>
      <w:r>
        <w:rPr>
          <w:i/>
          <w:iCs/>
          <w:rtl w:val="0"/>
        </w:rPr>
        <w:t xml:space="preserve">Căn cứ Quyết định số </w:t>
      </w:r>
      <w:bookmarkStart w:id="16" w:name="tvpllink_kpdmefyoop"/>
      <w:r>
        <w:rPr>
          <w:i/>
          <w:iCs/>
          <w:rtl w:val="0"/>
        </w:rPr>
        <w:t>04/2017/QĐ-TTg</w:t>
      </w:r>
      <w:bookmarkEnd w:id="16"/>
      <w:r>
        <w:rPr>
          <w:i/>
          <w:iCs/>
          <w:rtl w:val="0"/>
        </w:rPr>
        <w:t xml:space="preserve"> ngày 09 tháng 3 năm 2017 của Thủ tướng Chính phủ quy định Danh mục phương tiện, thiết bị phải dán nhãn năng lượng, áp dụng mức hiệu suất năng lượng tối thiểu và lộ trình thực hiện;</w:t>
      </w:r>
    </w:p>
    <w:p>
      <w:pPr>
        <w:bidi w:val="0"/>
        <w:spacing w:before="120" w:beforeAutospacing="0" w:after="280" w:afterAutospacing="1"/>
      </w:pPr>
      <w:r>
        <w:rPr>
          <w:i/>
          <w:iCs/>
          <w:rtl w:val="0"/>
        </w:rPr>
        <w:t xml:space="preserve">Căn cứ Quyết định số </w:t>
      </w:r>
      <w:bookmarkStart w:id="17" w:name="tvpllink_xloyjawthz"/>
      <w:r>
        <w:rPr>
          <w:i/>
          <w:iCs/>
          <w:rtl w:val="0"/>
        </w:rPr>
        <w:t>24/2018/QĐ-TTg</w:t>
      </w:r>
      <w:bookmarkEnd w:id="17"/>
      <w:r>
        <w:rPr>
          <w:i/>
          <w:iCs/>
          <w:rtl w:val="0"/>
        </w:rPr>
        <w:t xml:space="preserve"> ngày 18 tháng 05 năm 2018 của Thủ tướng Chính phủ ban hành Danh mục và lộ trình phương tiện, thiết bị sử dụng năng lượng phải loại bỏ và các tổ máy phát điện hiệu suất không được xây dựng mới;</w:t>
      </w:r>
    </w:p>
    <w:p>
      <w:pPr>
        <w:bidi w:val="0"/>
        <w:spacing w:before="120" w:beforeAutospacing="0" w:after="280" w:afterAutospacing="1"/>
      </w:pPr>
      <w:r>
        <w:rPr>
          <w:i/>
          <w:iCs/>
          <w:rtl w:val="0"/>
        </w:rPr>
        <w:t xml:space="preserve">Căn cứ Thông tư số </w:t>
      </w:r>
      <w:bookmarkStart w:id="18" w:name="tvpllink_sjxmxuwrup"/>
      <w:r>
        <w:rPr>
          <w:i/>
          <w:iCs/>
          <w:rtl w:val="0"/>
        </w:rPr>
        <w:t>41/2015/TT-BCT</w:t>
      </w:r>
      <w:bookmarkEnd w:id="18"/>
      <w:r>
        <w:rPr>
          <w:i/>
          <w:iCs/>
          <w:rtl w:val="0"/>
        </w:rPr>
        <w:t xml:space="preserve"> ngày 24 tháng 11 năm 2015 của Bộ trưởng Bộ Công Thương quy định Danh mục sản phẩm, hàng hóa có khả năng gây mất an toàn thuộc trách nhiệm quản lý của Bộ Công Thương, được sửa đổi, bổ sung một số điều tại Thông tư số </w:t>
      </w:r>
      <w:bookmarkStart w:id="19" w:name="tvpllink_rztuedyhyd"/>
      <w:r>
        <w:rPr>
          <w:i/>
          <w:iCs/>
          <w:rtl w:val="0"/>
        </w:rPr>
        <w:t>29/2016/TT-BCT</w:t>
      </w:r>
      <w:bookmarkEnd w:id="19"/>
      <w:r>
        <w:rPr>
          <w:i/>
          <w:iCs/>
          <w:rtl w:val="0"/>
        </w:rPr>
        <w:t xml:space="preserve"> ngày 13 tháng 12 năm 2016 và Thông tư số </w:t>
      </w:r>
      <w:bookmarkStart w:id="20" w:name="tvpllink_yytmdfbiyn"/>
      <w:r>
        <w:rPr>
          <w:i/>
          <w:iCs/>
          <w:rtl w:val="0"/>
        </w:rPr>
        <w:t>33/2017/TT-BCT</w:t>
      </w:r>
      <w:bookmarkEnd w:id="20"/>
      <w:r>
        <w:rPr>
          <w:i/>
          <w:iCs/>
          <w:rtl w:val="0"/>
        </w:rPr>
        <w:t xml:space="preserve"> ngày 28 tháng 12 năm 2017 của Bộ trưởng Bộ Công Thương;</w:t>
      </w:r>
    </w:p>
    <w:p>
      <w:pPr>
        <w:bidi w:val="0"/>
        <w:spacing w:before="120" w:beforeAutospacing="0" w:after="280" w:afterAutospacing="1"/>
      </w:pPr>
      <w:r>
        <w:rPr>
          <w:i/>
          <w:iCs/>
          <w:rtl w:val="0"/>
        </w:rPr>
        <w:t xml:space="preserve">Căn cứ Thông tư số </w:t>
      </w:r>
      <w:bookmarkStart w:id="21" w:name="tvpllink_kncsgnzryb"/>
      <w:r>
        <w:rPr>
          <w:i/>
          <w:iCs/>
          <w:rtl w:val="0"/>
        </w:rPr>
        <w:t>36/2019/TT-BCT</w:t>
      </w:r>
      <w:bookmarkEnd w:id="21"/>
      <w:r>
        <w:rPr>
          <w:i/>
          <w:iCs/>
          <w:rtl w:val="0"/>
        </w:rPr>
        <w:t xml:space="preserve"> quy định quản lý chất lượng sản phẩm, hàng hóa thuộc trách nhiệm quản lý của Bộ Công Thương;</w:t>
      </w:r>
    </w:p>
    <w:p>
      <w:pPr>
        <w:bidi w:val="0"/>
        <w:spacing w:before="120" w:beforeAutospacing="0" w:after="280" w:afterAutospacing="1"/>
      </w:pPr>
      <w:r>
        <w:rPr>
          <w:i/>
          <w:iCs/>
          <w:rtl w:val="0"/>
        </w:rPr>
        <w:t xml:space="preserve">Căn cứ Thông tư số </w:t>
      </w:r>
      <w:bookmarkStart w:id="22" w:name="tvpllink_kcvjhxwbtc"/>
      <w:r>
        <w:rPr>
          <w:i/>
          <w:iCs/>
          <w:rtl w:val="0"/>
        </w:rPr>
        <w:t>43/2015/TT-BCT</w:t>
      </w:r>
      <w:bookmarkEnd w:id="22"/>
      <w:r>
        <w:rPr>
          <w:i/>
          <w:iCs/>
          <w:rtl w:val="0"/>
        </w:rPr>
        <w:t xml:space="preserve"> ngày 15 tháng 11 năm 2018 quy định về quản lý an toàn thực phẩm thuộc trách nhiệm của Bộ Công Thương;</w:t>
      </w:r>
    </w:p>
    <w:p>
      <w:pPr>
        <w:bidi w:val="0"/>
        <w:spacing w:before="120" w:beforeAutospacing="0" w:after="280" w:afterAutospacing="1"/>
      </w:pPr>
      <w:r>
        <w:rPr>
          <w:i/>
          <w:iCs/>
          <w:rtl w:val="0"/>
        </w:rPr>
        <w:t xml:space="preserve">Căn cứ Thông tư số </w:t>
      </w:r>
      <w:bookmarkStart w:id="23" w:name="tvpllink_qtxodejolc"/>
      <w:r>
        <w:rPr>
          <w:i/>
          <w:iCs/>
          <w:rtl w:val="0"/>
        </w:rPr>
        <w:t>65/2017/TT-BTC</w:t>
      </w:r>
      <w:bookmarkEnd w:id="23"/>
      <w:r>
        <w:rPr>
          <w:i/>
          <w:iCs/>
          <w:rtl w:val="0"/>
        </w:rPr>
        <w:t xml:space="preserve"> ngày 27 tháng 6 năm 2017 của Bộ trưởng Bộ Tài chính ban hành Danh mục hàng hóa xuất khẩu, nhập khẩu Việt Nam được sửa đổi bổ sung một số nội dung tại Thông tư số </w:t>
      </w:r>
      <w:bookmarkStart w:id="24" w:name="tvpllink_scbtyeffrp"/>
      <w:r>
        <w:rPr>
          <w:i/>
          <w:iCs/>
          <w:rtl w:val="0"/>
        </w:rPr>
        <w:t>09/2019/TT-BTC</w:t>
      </w:r>
      <w:bookmarkEnd w:id="24"/>
      <w:r>
        <w:rPr>
          <w:i/>
          <w:iCs/>
          <w:rtl w:val="0"/>
        </w:rPr>
        <w:t xml:space="preserve"> ngày 15 tháng 02 năm 2019 của Bộ trưởng Bộ Tài chính;</w:t>
      </w:r>
    </w:p>
    <w:p>
      <w:pPr>
        <w:bidi w:val="0"/>
        <w:spacing w:before="120" w:beforeAutospacing="0" w:after="280" w:afterAutospacing="1"/>
      </w:pPr>
      <w:r>
        <w:rPr>
          <w:i/>
          <w:iCs/>
          <w:rtl w:val="0"/>
        </w:rPr>
        <w:t>Theo đề nghị của Vụ trưởng Vụ Khoa học và Công nghệ,</w:t>
      </w:r>
    </w:p>
    <w:p>
      <w:pPr>
        <w:bidi w:val="0"/>
        <w:spacing w:before="120" w:beforeAutospacing="0" w:after="280" w:afterAutospacing="1"/>
        <w:jc w:val="center"/>
      </w:pPr>
      <w:r>
        <w:rPr>
          <w:b/>
          <w:bCs/>
          <w:sz w:val="24"/>
          <w:rtl w:val="0"/>
        </w:rPr>
        <w:t>QUYẾT ĐỊNH:</w:t>
      </w:r>
    </w:p>
    <w:p>
      <w:pPr>
        <w:bidi w:val="0"/>
        <w:spacing w:before="120" w:beforeAutospacing="0" w:after="280" w:afterAutospacing="1"/>
      </w:pPr>
      <w:bookmarkStart w:id="25" w:name="dieu_1"/>
      <w:r>
        <w:rPr>
          <w:b/>
          <w:bCs/>
          <w:rtl w:val="0"/>
        </w:rPr>
        <w:t>Điều 1.</w:t>
      </w:r>
      <w:bookmarkEnd w:id="25"/>
      <w:r>
        <w:rPr>
          <w:rtl w:val="0"/>
        </w:rPr>
        <w:t xml:space="preserve"> </w:t>
      </w:r>
      <w:bookmarkStart w:id="26" w:name="dieu_1_name"/>
      <w:r>
        <w:rPr>
          <w:rtl w:val="0"/>
        </w:rPr>
        <w:t>Ban hành Danh mục các mặt hàng nhập khẩu (kèm theo mã HS) thực hiện kiểm tra chuyên ngành thuộc trách nhiệm quản lý của Bộ Công Thương tại các Phụ lục số 1, 2 và 3 kèm theo Quyết định này.</w:t>
      </w:r>
      <w:bookmarkEnd w:id="26"/>
    </w:p>
    <w:p>
      <w:pPr>
        <w:bidi w:val="0"/>
        <w:spacing w:before="120" w:beforeAutospacing="0" w:after="280" w:afterAutospacing="1"/>
      </w:pPr>
      <w:bookmarkStart w:id="27" w:name="dieu_2"/>
      <w:r>
        <w:rPr>
          <w:b/>
          <w:bCs/>
          <w:rtl w:val="0"/>
        </w:rPr>
        <w:t>Điều 2.</w:t>
      </w:r>
      <w:bookmarkEnd w:id="27"/>
      <w:r>
        <w:rPr>
          <w:rtl w:val="0"/>
        </w:rPr>
        <w:t xml:space="preserve"> </w:t>
      </w:r>
      <w:bookmarkStart w:id="28" w:name="dieu_2_name"/>
      <w:r>
        <w:rPr>
          <w:rtl w:val="0"/>
        </w:rPr>
        <w:t>Tổ chức thực hiện</w:t>
      </w:r>
      <w:bookmarkEnd w:id="28"/>
    </w:p>
    <w:p>
      <w:pPr>
        <w:bidi w:val="0"/>
        <w:spacing w:before="120" w:beforeAutospacing="0" w:after="280" w:afterAutospacing="1"/>
      </w:pPr>
      <w:bookmarkStart w:id="29" w:name="khoan_1_2"/>
      <w:r>
        <w:rPr>
          <w:rtl w:val="0"/>
        </w:rPr>
        <w:t xml:space="preserve">1. Giao Vụ Khoa học và Công nghệ: </w:t>
      </w:r>
      <w:r>
        <w:rPr>
          <w:i/>
          <w:iCs/>
          <w:rtl w:val="0"/>
        </w:rPr>
        <w:t>(i)</w:t>
      </w:r>
      <w:r>
        <w:rPr>
          <w:rtl w:val="0"/>
        </w:rPr>
        <w:t xml:space="preserve"> Chủ trì, phối hợp với các cơ quan, đơn vị có liên quan rà soát, cập nhật công bố danh mục các mặt hàng (kèm theo mã HS) thực hiện kiểm tra chuyên ngành thuộc trách nhiệm quản lý của Bộ Công Thương phù hợp yêu cầu quản lý nhà nước theo từng thời kỳ; </w:t>
      </w:r>
      <w:r>
        <w:rPr>
          <w:i/>
          <w:iCs/>
          <w:rtl w:val="0"/>
        </w:rPr>
        <w:t>(ii)</w:t>
      </w:r>
      <w:r>
        <w:rPr>
          <w:rtl w:val="0"/>
        </w:rPr>
        <w:t xml:space="preserve"> Kịp thời hướng dẫn và giải đáp những vướng mắc, phát sinh (nếu có) của hoạt động kiểm tra chuyên ngành đối với danh mục tại Phụ lục 2 của Quyết định này.</w:t>
      </w:r>
      <w:bookmarkEnd w:id="29"/>
    </w:p>
    <w:p>
      <w:pPr>
        <w:bidi w:val="0"/>
        <w:spacing w:before="120" w:beforeAutospacing="0" w:after="280" w:afterAutospacing="1"/>
      </w:pPr>
      <w:r>
        <w:rPr>
          <w:rtl w:val="0"/>
        </w:rPr>
        <w:t>2. Giao Cục Kỹ thuật an toàn và Môi trường công nghiệp, Cục Hóa chất chủ trì, phối hợp với các cơ quan, đơn vị có liên quan kịp thời hướng dẫn và giải đáp những vướng mắc, phát sinh (nếu có) của hoạt động kiểm tra chuyên ngành đối với danh mục tại Phụ lục 1 của Quyết định này.</w:t>
      </w:r>
    </w:p>
    <w:p>
      <w:pPr>
        <w:bidi w:val="0"/>
        <w:spacing w:before="120" w:beforeAutospacing="0" w:after="280" w:afterAutospacing="1"/>
      </w:pPr>
      <w:r>
        <w:rPr>
          <w:rtl w:val="0"/>
        </w:rPr>
        <w:t>3. Giao Vụ Tiết kiệm năng lượng và Phát triển bền vững chủ trì, phối hợp với các cơ quan, đơn vị có liên quan kịp thời hướng dẫn và giải đáp những vướng mắc, phát sinh (nếu có) của hoạt động kiểm tra chuyên ngành đối với danh mục tại Phụ lục 3 của Quyết định này.</w:t>
      </w:r>
    </w:p>
    <w:p>
      <w:pPr>
        <w:bidi w:val="0"/>
        <w:spacing w:before="120" w:beforeAutospacing="0" w:after="280" w:afterAutospacing="1"/>
      </w:pPr>
      <w:bookmarkStart w:id="30" w:name="dieu_3"/>
      <w:r>
        <w:rPr>
          <w:b/>
          <w:bCs/>
          <w:rtl w:val="0"/>
        </w:rPr>
        <w:t>Điều 3.</w:t>
      </w:r>
      <w:bookmarkEnd w:id="30"/>
      <w:r>
        <w:rPr>
          <w:rtl w:val="0"/>
        </w:rPr>
        <w:t xml:space="preserve"> </w:t>
      </w:r>
      <w:bookmarkStart w:id="31" w:name="dieu_3_name"/>
      <w:r>
        <w:rPr>
          <w:rtl w:val="0"/>
        </w:rPr>
        <w:t>Điều khoản thi hành</w:t>
      </w:r>
      <w:bookmarkEnd w:id="31"/>
    </w:p>
    <w:p>
      <w:pPr>
        <w:bidi w:val="0"/>
        <w:spacing w:before="120" w:beforeAutospacing="0" w:after="280" w:afterAutospacing="1"/>
      </w:pPr>
      <w:r>
        <w:rPr>
          <w:rtl w:val="0"/>
        </w:rPr>
        <w:t>1. Quyết định này có hiệu lực thi hành kể từ ngày ký ban hành.</w:t>
      </w:r>
    </w:p>
    <w:p>
      <w:pPr>
        <w:bidi w:val="0"/>
        <w:spacing w:before="120" w:beforeAutospacing="0" w:after="280" w:afterAutospacing="1"/>
      </w:pPr>
      <w:r>
        <w:rPr>
          <w:rtl w:val="0"/>
        </w:rPr>
        <w:t xml:space="preserve">2. Quyết định này thay thế Quyết định số </w:t>
      </w:r>
      <w:bookmarkStart w:id="32" w:name="tvpllink_auxrhiwerl"/>
      <w:r>
        <w:rPr>
          <w:rtl w:val="0"/>
        </w:rPr>
        <w:t>1325A/QĐ-BCT</w:t>
      </w:r>
      <w:bookmarkEnd w:id="32"/>
      <w:r>
        <w:rPr>
          <w:rtl w:val="0"/>
        </w:rPr>
        <w:t xml:space="preserve"> ngày 20 tháng 5 năm 2019 của Bộ trưởng Bộ Công Thương về việc ban hành Danh mục các mặt hàng (kèm theo mã HS) thực hiện kiểm tra chuyên ngành thuộc trách nhiệm quản lý của Bộ Công Thương.</w:t>
      </w:r>
    </w:p>
    <w:p>
      <w:pPr>
        <w:bidi w:val="0"/>
        <w:spacing w:before="120" w:beforeAutospacing="0" w:after="280" w:afterAutospacing="1"/>
      </w:pPr>
      <w:r>
        <w:rPr>
          <w:rtl w:val="0"/>
        </w:rPr>
        <w:t>3. Trong trường hợp các văn bản quy phạm pháp luật được dẫn chiếu tại Quyết định này có sự thay đổi, bổ sung thì thực hiện theo quy định tại văn bản tương ứng được ban hành.</w:t>
      </w:r>
    </w:p>
    <w:p>
      <w:pPr>
        <w:bidi w:val="0"/>
        <w:spacing w:before="120" w:beforeAutospacing="0" w:after="280" w:afterAutospacing="1"/>
      </w:pPr>
      <w:bookmarkStart w:id="33" w:name="dieu_4"/>
      <w:r>
        <w:rPr>
          <w:b/>
          <w:bCs/>
          <w:rtl w:val="0"/>
        </w:rPr>
        <w:t>Điều 4.</w:t>
      </w:r>
      <w:bookmarkEnd w:id="33"/>
      <w:r>
        <w:rPr>
          <w:rtl w:val="0"/>
        </w:rPr>
        <w:t xml:space="preserve"> </w:t>
      </w:r>
      <w:bookmarkStart w:id="34" w:name="dieu_4_name"/>
      <w:r>
        <w:rPr>
          <w:rtl w:val="0"/>
        </w:rPr>
        <w:t>Chánh Văn phòng Bộ, Vụ trưởng các Vụ: Khoa học và Công nghệ, Tiết kiệm năng lượng và Phát triển bền vững, Cục trưởng các Cục: Kỹ thuật an toàn và Môi trường công nghiệp, Hóa chất, Thủ trưởng các đơn vị thuộc Bộ Công Thương và các tổ chức, cá nhân có liên quan chịu trách nhiệm thi hành Quyết định này./.</w:t>
      </w:r>
      <w:bookmarkEnd w:id="34"/>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299"/>
        <w:gridCol w:w="4341"/>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Điều 4;</w:t>
            </w:r>
            <w:r>
              <w:rPr>
                <w:sz w:val="16"/>
                <w:rtl w:val="0"/>
              </w:rPr>
              <w:br/>
            </w:r>
            <w:r>
              <w:rPr>
                <w:sz w:val="16"/>
                <w:rtl w:val="0"/>
              </w:rPr>
              <w:t>- Các Thứ trưởng;</w:t>
            </w:r>
            <w:r>
              <w:rPr>
                <w:sz w:val="16"/>
                <w:rtl w:val="0"/>
              </w:rPr>
              <w:br/>
            </w:r>
            <w:r>
              <w:rPr>
                <w:sz w:val="16"/>
                <w:rtl w:val="0"/>
              </w:rPr>
              <w:t>- Văn phòng Chính phủ;</w:t>
            </w:r>
            <w:r>
              <w:rPr>
                <w:sz w:val="16"/>
                <w:rtl w:val="0"/>
              </w:rPr>
              <w:br/>
            </w:r>
            <w:r>
              <w:rPr>
                <w:sz w:val="16"/>
                <w:rtl w:val="0"/>
              </w:rPr>
              <w:t>- Tổng cục Hải quan;</w:t>
            </w:r>
            <w:r>
              <w:rPr>
                <w:sz w:val="16"/>
                <w:rtl w:val="0"/>
              </w:rPr>
              <w:br/>
            </w:r>
            <w:r>
              <w:rPr>
                <w:sz w:val="16"/>
                <w:rtl w:val="0"/>
              </w:rPr>
              <w:t>- Cổng Thông tin điện tử-Bộ Công Thương;</w:t>
            </w:r>
            <w:r>
              <w:rPr>
                <w:sz w:val="16"/>
                <w:rtl w:val="0"/>
              </w:rPr>
              <w:br/>
            </w:r>
            <w:r>
              <w:rPr>
                <w:sz w:val="16"/>
                <w:rtl w:val="0"/>
              </w:rPr>
              <w:t>- Lưu: VT, KHCN.</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BỘ TRƯỞNG</w:t>
            </w:r>
            <w:r>
              <w:rPr>
                <w:b/>
                <w:bCs/>
                <w:rtl w:val="0"/>
              </w:rPr>
              <w:br/>
            </w:r>
            <w:r>
              <w:rPr>
                <w:b/>
                <w:bCs/>
                <w:rtl w:val="0"/>
              </w:rPr>
              <w:br/>
            </w:r>
            <w:r>
              <w:rPr>
                <w:b/>
                <w:bCs/>
                <w:rtl w:val="0"/>
              </w:rPr>
              <w:br/>
            </w:r>
            <w:r>
              <w:rPr>
                <w:b/>
                <w:bCs/>
                <w:rtl w:val="0"/>
              </w:rPr>
              <w:br/>
            </w:r>
            <w:r>
              <w:rPr>
                <w:b/>
                <w:bCs/>
                <w:rtl w:val="0"/>
              </w:rPr>
              <w:br/>
            </w:r>
            <w:r>
              <w:rPr>
                <w:b/>
                <w:bCs/>
                <w:rtl w:val="0"/>
              </w:rPr>
              <w:t>Trần Tuấn Anh</w:t>
            </w:r>
          </w:p>
        </w:tc>
      </w:tr>
    </w:tbl>
    <w:p>
      <w:pPr>
        <w:bidi w:val="0"/>
        <w:spacing w:before="120" w:beforeAutospacing="0" w:after="280" w:afterAutospacing="1"/>
      </w:pPr>
      <w:r>
        <w:rPr>
          <w:rtl w:val="0"/>
        </w:rPr>
        <w:t> </w:t>
      </w:r>
    </w:p>
    <w:p>
      <w:pPr>
        <w:bidi w:val="0"/>
        <w:spacing w:before="120" w:beforeAutospacing="0" w:after="280" w:afterAutospacing="1"/>
        <w:jc w:val="center"/>
      </w:pPr>
      <w:bookmarkStart w:id="35" w:name="chuong_pl_1"/>
      <w:r>
        <w:rPr>
          <w:b/>
          <w:bCs/>
          <w:sz w:val="24"/>
          <w:rtl w:val="0"/>
        </w:rPr>
        <w:t>PHỤ LỤC 1:</w:t>
      </w:r>
      <w:bookmarkEnd w:id="35"/>
    </w:p>
    <w:p>
      <w:pPr>
        <w:bidi w:val="0"/>
        <w:spacing w:before="120" w:beforeAutospacing="0" w:after="280" w:afterAutospacing="1"/>
        <w:jc w:val="center"/>
      </w:pPr>
      <w:bookmarkStart w:id="36" w:name="chuong_pl_1_name"/>
      <w:r>
        <w:rPr>
          <w:rtl w:val="0"/>
        </w:rPr>
        <w:t>DANH MỤC CÁC MẶT HÀNG KIỂM TRA CHUYÊN NGÀNH VỀ CHẤT LƯỢNG SẢN PHẨM HÀNG HÓA NHÓM 2</w:t>
      </w:r>
      <w:bookmarkEnd w:id="36"/>
      <w:r>
        <w:rPr>
          <w:rtl w:val="0"/>
        </w:rPr>
        <w:br/>
      </w:r>
      <w:r>
        <w:rPr>
          <w:i/>
          <w:iCs/>
          <w:rtl w:val="0"/>
        </w:rPr>
        <w:t>(Ban hành kèm theo Quyết định số 1182/QĐ-BCT ngày 06 tháng 4 năm 2021 của Bộ trưởng Bộ Công Thương)</w:t>
      </w:r>
    </w:p>
    <w:tbl>
      <w:tblPr>
        <w:tblW w:w="5000" w:type="pct"/>
        <w:jc w:val="left"/>
        <w:tblCellMar>
          <w:top w:w="0" w:type="dxa"/>
          <w:left w:w="0" w:type="dxa"/>
          <w:bottom w:w="0" w:type="dxa"/>
          <w:right w:w="0" w:type="dxa"/>
        </w:tblCellMar>
      </w:tblPr>
      <w:tblGrid>
        <w:gridCol w:w="1120"/>
        <w:gridCol w:w="2210"/>
        <w:gridCol w:w="2931"/>
        <w:gridCol w:w="1450"/>
        <w:gridCol w:w="914"/>
        <w:gridCol w:w="15"/>
      </w:tblGrid>
      <w:tr>
        <w:tblPrEx>
          <w:tblW w:w="5000" w:type="pct"/>
          <w:jc w:val="left"/>
          <w:tblCellMar>
            <w:top w:w="0" w:type="dxa"/>
            <w:left w:w="0" w:type="dxa"/>
            <w:bottom w:w="0" w:type="dxa"/>
            <w:right w:w="0" w:type="dxa"/>
          </w:tblCellMar>
        </w:tblPrEx>
        <w:trPr>
          <w:jc w:val="left"/>
        </w:trPr>
        <w:tc>
          <w:tcPr>
            <w:tcW w:w="590" w:type="pct"/>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Mã số HS</w:t>
            </w:r>
          </w:p>
        </w:tc>
        <w:tc>
          <w:tcPr>
            <w:tcW w:w="129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xml:space="preserve">Tên hàng hóa theo Thông tư </w:t>
            </w:r>
            <w:bookmarkStart w:id="37" w:name="tvpllink_qtxodejolc_1"/>
            <w:r>
              <w:rPr>
                <w:b/>
                <w:bCs/>
                <w:rtl w:val="0"/>
              </w:rPr>
              <w:t>65/2017/TT-BTC</w:t>
            </w:r>
            <w:bookmarkEnd w:id="37"/>
          </w:p>
        </w:tc>
        <w:tc>
          <w:tcPr>
            <w:tcW w:w="173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Mô tả sản phẩm, hàng hóa</w:t>
            </w:r>
          </w:p>
        </w:tc>
        <w:tc>
          <w:tcPr>
            <w:tcW w:w="84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Tiêu chuẩn, quy chuẩn kỹ thuật</w:t>
            </w:r>
          </w:p>
        </w:tc>
        <w:tc>
          <w:tcPr>
            <w:tcW w:w="53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Ghi chú</w:t>
            </w: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000" w:type="pct"/>
            <w:gridSpan w:val="5"/>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b/>
                <w:bCs/>
                <w:i/>
                <w:iCs/>
                <w:rtl w:val="0"/>
              </w:rPr>
              <w:t xml:space="preserve">Sản phẩm hàng hóa nhóm 2 được quản lý chất lượng theo quy định tại Thông tư số </w:t>
            </w:r>
            <w:bookmarkStart w:id="38" w:name="tvpllink_kncsgnzryb_1"/>
            <w:r>
              <w:rPr>
                <w:b/>
                <w:bCs/>
                <w:i/>
                <w:iCs/>
                <w:rtl w:val="0"/>
              </w:rPr>
              <w:t>36/2019/TT-BCT</w:t>
            </w:r>
            <w:bookmarkEnd w:id="38"/>
            <w:r>
              <w:rPr>
                <w:b/>
                <w:bCs/>
                <w:i/>
                <w:iCs/>
                <w:rtl w:val="0"/>
              </w:rPr>
              <w:t xml:space="preserve"> ngày 29 tháng 11 năm 2019 của Bộ trưởng Bộ Công Thương quy định quản lý chất lượng sản phẩm, hàng hóa thuộc trách nhiệm quản lý của Bộ Công Thương</w:t>
            </w: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590" w:type="pct"/>
            <w:vMerge w:val="restar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3102.30.00</w:t>
            </w:r>
          </w:p>
        </w:tc>
        <w:tc>
          <w:tcPr>
            <w:tcW w:w="129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Amoni nitrat, có hoặc không ở trong dung dịch nước</w:t>
            </w:r>
          </w:p>
        </w:tc>
        <w:tc>
          <w:tcPr>
            <w:tcW w:w="17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Amoni nitrat (NH</w:t>
            </w:r>
            <w:r>
              <w:rPr>
                <w:vertAlign w:val="subscript"/>
                <w:rtl w:val="0"/>
              </w:rPr>
              <w:t>4</w:t>
            </w:r>
            <w:r>
              <w:rPr>
                <w:rtl w:val="0"/>
              </w:rPr>
              <w:t>NO</w:t>
            </w:r>
            <w:r>
              <w:rPr>
                <w:vertAlign w:val="subscript"/>
                <w:rtl w:val="0"/>
              </w:rPr>
              <w:t>3</w:t>
            </w:r>
            <w:r>
              <w:rPr>
                <w:rtl w:val="0"/>
              </w:rPr>
              <w:t xml:space="preserve">) dạng tinh thể dùng để sản xuất thuốc nổ nhũ tương </w:t>
            </w:r>
          </w:p>
        </w:tc>
        <w:tc>
          <w:tcPr>
            <w:tcW w:w="8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39" w:name="tvpllink_xrirqmixmd"/>
            <w:r>
              <w:rPr>
                <w:rtl w:val="0"/>
              </w:rPr>
              <w:t>QCVN 05:2015/BCT</w:t>
            </w:r>
            <w:bookmarkEnd w:id="39"/>
          </w:p>
        </w:tc>
        <w:tc>
          <w:tcPr>
            <w:tcW w:w="53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17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Amoni nitrat (NH</w:t>
            </w:r>
            <w:r>
              <w:rPr>
                <w:vertAlign w:val="subscript"/>
                <w:rtl w:val="0"/>
              </w:rPr>
              <w:t>4</w:t>
            </w:r>
            <w:r>
              <w:rPr>
                <w:rtl w:val="0"/>
              </w:rPr>
              <w:t>NO</w:t>
            </w:r>
            <w:r>
              <w:rPr>
                <w:vertAlign w:val="subscript"/>
                <w:rtl w:val="0"/>
              </w:rPr>
              <w:t>3</w:t>
            </w:r>
            <w:r>
              <w:rPr>
                <w:rtl w:val="0"/>
              </w:rPr>
              <w:t>) dạng hạt xốp dùng để sản xuất thuốc nổ ANFO</w:t>
            </w:r>
          </w:p>
        </w:tc>
        <w:tc>
          <w:tcPr>
            <w:tcW w:w="8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40" w:name="tvpllink_hwjyabrjtx"/>
            <w:r>
              <w:rPr>
                <w:rtl w:val="0"/>
              </w:rPr>
              <w:t>QCVN 03:2012/BCT</w:t>
            </w:r>
            <w:bookmarkEnd w:id="40"/>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590" w:type="pct"/>
            <w:vMerge w:val="restar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3602.00.00</w:t>
            </w:r>
          </w:p>
        </w:tc>
        <w:tc>
          <w:tcPr>
            <w:tcW w:w="129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Thuốc nổ đã điều chế, trừ bột nổ đẩy</w:t>
            </w:r>
          </w:p>
        </w:tc>
        <w:tc>
          <w:tcPr>
            <w:tcW w:w="17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Thuốc nổ nhũ tương dùng cho mỏ hầm lò, công trình ngầm không có khí và bụi nổ</w:t>
            </w:r>
          </w:p>
        </w:tc>
        <w:tc>
          <w:tcPr>
            <w:tcW w:w="8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41" w:name="tvpllink_clvuvxsrdr"/>
            <w:r>
              <w:rPr>
                <w:rtl w:val="0"/>
              </w:rPr>
              <w:t>QCVN 05:2012/BCT</w:t>
            </w:r>
            <w:bookmarkEnd w:id="41"/>
          </w:p>
        </w:tc>
        <w:tc>
          <w:tcPr>
            <w:tcW w:w="53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17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Thuốc nổ amonit AD1</w:t>
            </w:r>
          </w:p>
        </w:tc>
        <w:tc>
          <w:tcPr>
            <w:tcW w:w="8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42" w:name="tvpllink_bevljgqnjw"/>
            <w:r>
              <w:rPr>
                <w:rtl w:val="0"/>
              </w:rPr>
              <w:t>QCVN 07:2015/BCT</w:t>
            </w:r>
            <w:bookmarkEnd w:id="42"/>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17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Thuốc nổ loại khác (Theo danh mục tại Phụ lục 1 ban hành kèm theo Thông tư số </w:t>
            </w:r>
            <w:bookmarkStart w:id="43" w:name="tvpllink_nszthbpdfg_1"/>
            <w:r>
              <w:rPr>
                <w:rtl w:val="0"/>
              </w:rPr>
              <w:t>13/2018/TT-BCT</w:t>
            </w:r>
            <w:bookmarkEnd w:id="43"/>
            <w:r>
              <w:rPr>
                <w:rtl w:val="0"/>
              </w:rPr>
              <w:t xml:space="preserve"> ngày 15 tháng 6 năm 2018)</w:t>
            </w:r>
          </w:p>
        </w:tc>
        <w:tc>
          <w:tcPr>
            <w:tcW w:w="8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Các chỉ tiêu kỹ thuật nêu tại Phụ lục ban hành kèm theo Thông tư số </w:t>
            </w:r>
            <w:bookmarkStart w:id="44" w:name="tvpllink_nszthbpdfg"/>
            <w:r>
              <w:rPr>
                <w:rtl w:val="0"/>
              </w:rPr>
              <w:t>13/2018/TT-BCT</w:t>
            </w:r>
            <w:bookmarkEnd w:id="44"/>
            <w:r>
              <w:rPr>
                <w:rtl w:val="0"/>
              </w:rPr>
              <w:t xml:space="preserve"> ngày 15 tháng 6 năm 2018</w:t>
            </w:r>
            <w:r>
              <w:rPr>
                <w:rtl w:val="0"/>
              </w:rPr>
              <w:fldChar w:fldCharType="begin"/>
            </w:r>
            <w:r>
              <w:rPr>
                <w:rtl w:val="0"/>
              </w:rPr>
              <w:instrText xml:space="preserve"> HYPERLINK \l "_ftn1" </w:instrText>
            </w:r>
            <w:r>
              <w:rPr>
                <w:rtl w:val="0"/>
              </w:rPr>
              <w:fldChar w:fldCharType="separate"/>
            </w:r>
            <w:r>
              <w:rPr>
                <w:color w:val="0000FF"/>
                <w:u w:val="single"/>
                <w:rtl w:val="0"/>
              </w:rPr>
              <w:t>1</w:t>
            </w:r>
            <w:r>
              <w:rPr>
                <w:rtl w:val="0"/>
              </w:rPr>
              <w:fldChar w:fldCharType="end"/>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590" w:type="pct"/>
            <w:vMerge w:val="restar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3603.00.10</w:t>
            </w:r>
          </w:p>
        </w:tc>
        <w:tc>
          <w:tcPr>
            <w:tcW w:w="129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Dây cháy chậm bán thành phẩm; kíp nổ cơ bản;</w:t>
            </w:r>
          </w:p>
        </w:tc>
        <w:tc>
          <w:tcPr>
            <w:tcW w:w="17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loại kíp nổ điện dùng trong công nghiệp</w:t>
            </w:r>
          </w:p>
        </w:tc>
        <w:tc>
          <w:tcPr>
            <w:tcW w:w="8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45" w:name="tvpllink_wyuwkuzbro"/>
            <w:r>
              <w:rPr>
                <w:rtl w:val="0"/>
              </w:rPr>
              <w:t>QCVN 02:2015/BCT</w:t>
            </w:r>
            <w:bookmarkEnd w:id="45"/>
          </w:p>
        </w:tc>
        <w:tc>
          <w:tcPr>
            <w:tcW w:w="53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17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Kíp nổ đốt số 8 dùng trong công nghiệp</w:t>
            </w:r>
          </w:p>
        </w:tc>
        <w:tc>
          <w:tcPr>
            <w:tcW w:w="8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46" w:name="tvpllink_kdmqkozoqk"/>
            <w:r>
              <w:rPr>
                <w:rtl w:val="0"/>
              </w:rPr>
              <w:t>QCVN 03:2015/BCT</w:t>
            </w:r>
            <w:bookmarkEnd w:id="46"/>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3603.00.20</w:t>
            </w:r>
          </w:p>
        </w:tc>
        <w:tc>
          <w:tcPr>
            <w:tcW w:w="1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Dây cháy chậm</w:t>
            </w:r>
          </w:p>
        </w:tc>
        <w:tc>
          <w:tcPr>
            <w:tcW w:w="17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Dây cháy chậm công nghiệp</w:t>
            </w:r>
          </w:p>
        </w:tc>
        <w:tc>
          <w:tcPr>
            <w:tcW w:w="8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47" w:name="tvpllink_mopaeugdvb"/>
            <w:r>
              <w:rPr>
                <w:rtl w:val="0"/>
              </w:rPr>
              <w:t>QCVN 06:2015/BCT</w:t>
            </w:r>
            <w:bookmarkEnd w:id="47"/>
          </w:p>
        </w:tc>
        <w:tc>
          <w:tcPr>
            <w:tcW w:w="53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590" w:type="pct"/>
            <w:vMerge w:val="restar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3603.00.90</w:t>
            </w:r>
          </w:p>
        </w:tc>
        <w:tc>
          <w:tcPr>
            <w:tcW w:w="129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Loại khác</w:t>
            </w:r>
          </w:p>
        </w:tc>
        <w:tc>
          <w:tcPr>
            <w:tcW w:w="17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Dây nổ chịu nước dùng trong công nghiệp</w:t>
            </w:r>
          </w:p>
        </w:tc>
        <w:tc>
          <w:tcPr>
            <w:tcW w:w="8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48" w:name="tvpllink_owjmbdhdfo"/>
            <w:r>
              <w:rPr>
                <w:rtl w:val="0"/>
              </w:rPr>
              <w:t>QCVN 04:2015/BCT</w:t>
            </w:r>
            <w:bookmarkEnd w:id="48"/>
          </w:p>
        </w:tc>
        <w:tc>
          <w:tcPr>
            <w:tcW w:w="53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17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Mồi nổ dùng cho thuốc nổ công nghiệp</w:t>
            </w:r>
          </w:p>
        </w:tc>
        <w:tc>
          <w:tcPr>
            <w:tcW w:w="8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49" w:name="tvpllink_fapzpjxxpa"/>
            <w:r>
              <w:rPr>
                <w:rtl w:val="0"/>
              </w:rPr>
              <w:t>QCVN 08:2015/BCT</w:t>
            </w:r>
            <w:bookmarkEnd w:id="49"/>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7304.39.20</w:t>
            </w:r>
          </w:p>
        </w:tc>
        <w:tc>
          <w:tcPr>
            <w:tcW w:w="1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Ống dẫn chịu áp lực cao có khả năng chịu áp lực không nhỏ hơn 42.000 psi</w:t>
            </w:r>
          </w:p>
        </w:tc>
        <w:tc>
          <w:tcPr>
            <w:tcW w:w="17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Đường ống dẫn hơi và nước nóng cấp I, II có đường kính ngoài từ 51 mm trở lên; các đường ống dẫn cấp III, IV có đường kính ngoài từ 76 mm trở lên sử dụng trong công nghiệp </w:t>
            </w:r>
          </w:p>
        </w:tc>
        <w:tc>
          <w:tcPr>
            <w:tcW w:w="8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bookmarkStart w:id="50" w:name="tvpllink_kplusgygbc"/>
            <w:r>
              <w:rPr>
                <w:rtl w:val="0"/>
              </w:rPr>
              <w:t>TCVN 6158:1996</w:t>
            </w:r>
            <w:bookmarkEnd w:id="50"/>
            <w:r>
              <w:rPr>
                <w:rtl w:val="0"/>
              </w:rPr>
              <w:t>;</w:t>
            </w:r>
          </w:p>
          <w:p>
            <w:pPr>
              <w:bidi w:val="0"/>
              <w:spacing w:before="120" w:beforeAutospacing="0" w:after="280" w:afterAutospacing="1"/>
              <w:rPr>
                <w:rtl w:val="0"/>
              </w:rPr>
            </w:pPr>
            <w:bookmarkStart w:id="51" w:name="tvpllink_ruunoyvpdu"/>
            <w:r>
              <w:rPr>
                <w:rtl w:val="0"/>
              </w:rPr>
              <w:t>TCVN 6159:1996</w:t>
            </w:r>
            <w:bookmarkEnd w:id="51"/>
            <w:r>
              <w:rPr>
                <w:rtl w:val="0"/>
              </w:rPr>
              <w:t>;</w:t>
            </w:r>
          </w:p>
          <w:p>
            <w:pPr>
              <w:bidi w:val="0"/>
              <w:spacing w:before="120" w:beforeAutospacing="0" w:after="0" w:afterAutospacing="0"/>
              <w:rPr>
                <w:rtl w:val="0"/>
              </w:rPr>
            </w:pPr>
            <w:bookmarkStart w:id="52" w:name="tvpllink_hsgwilaljw"/>
            <w:r>
              <w:rPr>
                <w:rtl w:val="0"/>
              </w:rPr>
              <w:t>QCVN 04:2014/BCT</w:t>
            </w:r>
            <w:bookmarkEnd w:id="52"/>
          </w:p>
        </w:tc>
        <w:tc>
          <w:tcPr>
            <w:tcW w:w="53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7308.40.10</w:t>
            </w:r>
          </w:p>
        </w:tc>
        <w:tc>
          <w:tcPr>
            <w:tcW w:w="129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Thiết bị dùng cho giàn giáo, ván khuôn, vật chống hoặc cột trụ chống hầm lò</w:t>
            </w:r>
          </w:p>
        </w:tc>
        <w:tc>
          <w:tcPr>
            <w:tcW w:w="173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Cột chống thủy lực đơn, Giá khung di động và dàn chống tự hành cấu tạo từ các cột chống thủy lực đơn sử dụng trong việc chống giữ lò trong khai thác hầm lò</w:t>
            </w:r>
          </w:p>
        </w:tc>
        <w:tc>
          <w:tcPr>
            <w:tcW w:w="84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53" w:name="tvpllink_grxcmzggxh"/>
            <w:r>
              <w:rPr>
                <w:rtl w:val="0"/>
              </w:rPr>
              <w:t>QCVN 01:2011/BCT</w:t>
            </w:r>
            <w:bookmarkEnd w:id="53"/>
          </w:p>
        </w:tc>
        <w:tc>
          <w:tcPr>
            <w:tcW w:w="53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7308.40.90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7309.00.11</w:t>
            </w:r>
          </w:p>
        </w:tc>
        <w:tc>
          <w:tcPr>
            <w:tcW w:w="129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Các loại bình chứa dùng để chứa mọi loại vật liệu </w:t>
            </w:r>
          </w:p>
        </w:tc>
        <w:tc>
          <w:tcPr>
            <w:tcW w:w="173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Bình chịu áp lực có kết cấu không lắp trên các phương tiện giao thông vận tải, áp suất làm việc định mức cao hơn 0,7 bar (không kể áp suất thủy tĩnh) dùng trong công nghiệp</w:t>
            </w:r>
          </w:p>
        </w:tc>
        <w:tc>
          <w:tcPr>
            <w:tcW w:w="84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bookmarkStart w:id="54" w:name="tvpllink_wccqfluyui"/>
            <w:r>
              <w:rPr>
                <w:shd w:val="solid" w:color="FFFFFF" w:fill="auto"/>
                <w:rtl w:val="0"/>
              </w:rPr>
              <w:t>TCVN 8366:2010</w:t>
            </w:r>
            <w:bookmarkEnd w:id="54"/>
            <w:r>
              <w:rPr>
                <w:shd w:val="solid" w:color="FFFFFF" w:fill="auto"/>
                <w:rtl w:val="0"/>
              </w:rPr>
              <w:t>;</w:t>
            </w:r>
          </w:p>
          <w:p>
            <w:pPr>
              <w:bidi w:val="0"/>
              <w:spacing w:before="120" w:beforeAutospacing="0" w:after="280" w:afterAutospacing="1"/>
              <w:rPr>
                <w:rtl w:val="0"/>
              </w:rPr>
            </w:pPr>
            <w:bookmarkStart w:id="55" w:name="tvpllink_rqjhqmtipk"/>
            <w:r>
              <w:rPr>
                <w:shd w:val="solid" w:color="FFFFFF" w:fill="auto"/>
                <w:rtl w:val="0"/>
              </w:rPr>
              <w:t>TCVN 6155:1996</w:t>
            </w:r>
            <w:bookmarkEnd w:id="55"/>
            <w:r>
              <w:rPr>
                <w:shd w:val="solid" w:color="FFFFFF" w:fill="auto"/>
                <w:rtl w:val="0"/>
              </w:rPr>
              <w:t>;</w:t>
            </w:r>
          </w:p>
          <w:p>
            <w:pPr>
              <w:bidi w:val="0"/>
              <w:spacing w:before="120" w:beforeAutospacing="0" w:after="280" w:afterAutospacing="1"/>
              <w:rPr>
                <w:rtl w:val="0"/>
              </w:rPr>
            </w:pPr>
            <w:bookmarkStart w:id="56" w:name="tvpllink_kmdwetmmra"/>
            <w:r>
              <w:rPr>
                <w:shd w:val="solid" w:color="FFFFFF" w:fill="auto"/>
                <w:rtl w:val="0"/>
              </w:rPr>
              <w:t>TCVN 6156:1996</w:t>
            </w:r>
            <w:bookmarkEnd w:id="56"/>
            <w:r>
              <w:rPr>
                <w:shd w:val="solid" w:color="FFFFFF" w:fill="auto"/>
                <w:rtl w:val="0"/>
              </w:rPr>
              <w:t>;</w:t>
            </w:r>
          </w:p>
          <w:p>
            <w:pPr>
              <w:bidi w:val="0"/>
              <w:spacing w:before="120" w:beforeAutospacing="0" w:after="0" w:afterAutospacing="0"/>
              <w:rPr>
                <w:rtl w:val="0"/>
              </w:rPr>
            </w:pPr>
            <w:bookmarkStart w:id="57" w:name="tvpllink_keuqthxhsw"/>
            <w:r>
              <w:rPr>
                <w:rtl w:val="0"/>
              </w:rPr>
              <w:t>TCVN 6008:2010</w:t>
            </w:r>
            <w:bookmarkEnd w:id="57"/>
          </w:p>
        </w:tc>
        <w:tc>
          <w:tcPr>
            <w:tcW w:w="53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7309.00.19</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7309.00.91</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7309.00.99</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7311.00.91</w:t>
            </w:r>
          </w:p>
        </w:tc>
        <w:tc>
          <w:tcPr>
            <w:tcW w:w="1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Loại khác, có dung tích không quá 7,3 lít</w:t>
            </w:r>
          </w:p>
        </w:tc>
        <w:tc>
          <w:tcPr>
            <w:tcW w:w="173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Chai chứa LPG</w:t>
            </w:r>
          </w:p>
        </w:tc>
        <w:tc>
          <w:tcPr>
            <w:tcW w:w="84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58" w:name="tvpllink_psimqvqnwk"/>
            <w:r>
              <w:rPr>
                <w:rtl w:val="0"/>
              </w:rPr>
              <w:t>QCVN 04:2013/BCT</w:t>
            </w:r>
            <w:bookmarkEnd w:id="58"/>
          </w:p>
        </w:tc>
        <w:tc>
          <w:tcPr>
            <w:tcW w:w="53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7311.00.92</w:t>
            </w:r>
          </w:p>
        </w:tc>
        <w:tc>
          <w:tcPr>
            <w:tcW w:w="1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Loại khác, có dung tích trên 7,3 lít nhưng dưới 30 lít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7311.00.94</w:t>
            </w:r>
          </w:p>
        </w:tc>
        <w:tc>
          <w:tcPr>
            <w:tcW w:w="1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Loại khác, có dung tích từ 30 lít trở lên nhưng dưới 110 lít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7311.00.99</w:t>
            </w:r>
          </w:p>
        </w:tc>
        <w:tc>
          <w:tcPr>
            <w:tcW w:w="1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Loại khác</w:t>
            </w:r>
          </w:p>
        </w:tc>
        <w:tc>
          <w:tcPr>
            <w:tcW w:w="17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Bồn chứa LPG có kết cấu không lắp trên các phương tiện giao thông vận tải </w:t>
            </w:r>
          </w:p>
        </w:tc>
        <w:tc>
          <w:tcPr>
            <w:tcW w:w="8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bookmarkStart w:id="59" w:name="tvpllink_wccqfluyui_1"/>
            <w:r>
              <w:rPr>
                <w:rtl w:val="0"/>
              </w:rPr>
              <w:t>TCVN 8366:2010</w:t>
            </w:r>
            <w:bookmarkEnd w:id="59"/>
            <w:r>
              <w:rPr>
                <w:rtl w:val="0"/>
              </w:rPr>
              <w:t>;</w:t>
            </w:r>
          </w:p>
          <w:p>
            <w:pPr>
              <w:bidi w:val="0"/>
              <w:spacing w:before="120" w:beforeAutospacing="0" w:after="280" w:afterAutospacing="1"/>
              <w:rPr>
                <w:rtl w:val="0"/>
              </w:rPr>
            </w:pPr>
            <w:bookmarkStart w:id="60" w:name="tvpllink_rqjhqmtipk_1"/>
            <w:r>
              <w:rPr>
                <w:shd w:val="solid" w:color="FFFFFF" w:fill="auto"/>
                <w:rtl w:val="0"/>
              </w:rPr>
              <w:t>TCVN 6155:1996</w:t>
            </w:r>
            <w:bookmarkEnd w:id="60"/>
            <w:r>
              <w:rPr>
                <w:shd w:val="solid" w:color="FFFFFF" w:fill="auto"/>
                <w:rtl w:val="0"/>
              </w:rPr>
              <w:t>;</w:t>
            </w:r>
          </w:p>
          <w:p>
            <w:pPr>
              <w:bidi w:val="0"/>
              <w:spacing w:before="120" w:beforeAutospacing="0" w:after="280" w:afterAutospacing="1"/>
              <w:rPr>
                <w:rtl w:val="0"/>
              </w:rPr>
            </w:pPr>
            <w:bookmarkStart w:id="61" w:name="tvpllink_kmdwetmmra_1"/>
            <w:r>
              <w:rPr>
                <w:rtl w:val="0"/>
              </w:rPr>
              <w:t>TCVN 6156:1996</w:t>
            </w:r>
            <w:bookmarkEnd w:id="61"/>
            <w:r>
              <w:rPr>
                <w:rtl w:val="0"/>
              </w:rPr>
              <w:t>;</w:t>
            </w:r>
          </w:p>
          <w:p>
            <w:pPr>
              <w:bidi w:val="0"/>
              <w:spacing w:before="120" w:beforeAutospacing="0" w:after="280" w:afterAutospacing="1"/>
              <w:rPr>
                <w:rtl w:val="0"/>
              </w:rPr>
            </w:pPr>
            <w:bookmarkStart w:id="62" w:name="tvpllink_siemgpkeol"/>
            <w:r>
              <w:rPr>
                <w:rtl w:val="0"/>
              </w:rPr>
              <w:t>TCVN 7441:2004</w:t>
            </w:r>
            <w:bookmarkEnd w:id="62"/>
            <w:r>
              <w:rPr>
                <w:rtl w:val="0"/>
              </w:rPr>
              <w:t>;</w:t>
            </w:r>
          </w:p>
          <w:p>
            <w:pPr>
              <w:bidi w:val="0"/>
              <w:spacing w:before="120" w:beforeAutospacing="0" w:after="0" w:afterAutospacing="0"/>
              <w:rPr>
                <w:rtl w:val="0"/>
              </w:rPr>
            </w:pPr>
            <w:bookmarkStart w:id="63" w:name="tvpllink_rdynbjyziz"/>
            <w:r>
              <w:rPr>
                <w:rtl w:val="0"/>
              </w:rPr>
              <w:t>TCVN 8615-2:2010</w:t>
            </w:r>
            <w:bookmarkEnd w:id="63"/>
            <w:r>
              <w:rPr>
                <w:rtl w:val="0"/>
              </w:rPr>
              <w:fldChar w:fldCharType="begin"/>
            </w:r>
            <w:r>
              <w:rPr>
                <w:rtl w:val="0"/>
              </w:rPr>
              <w:instrText xml:space="preserve"> HYPERLINK \l "_ftn2" </w:instrText>
            </w:r>
            <w:r>
              <w:rPr>
                <w:rtl w:val="0"/>
              </w:rPr>
              <w:fldChar w:fldCharType="separate"/>
            </w:r>
            <w:r>
              <w:rPr>
                <w:color w:val="0000FF"/>
                <w:u w:val="single"/>
                <w:rtl w:val="0"/>
              </w:rPr>
              <w:t>2</w:t>
            </w:r>
            <w:r>
              <w:rPr>
                <w:rtl w:val="0"/>
              </w:rPr>
              <w:fldChar w:fldCharType="end"/>
            </w:r>
          </w:p>
        </w:tc>
        <w:tc>
          <w:tcPr>
            <w:tcW w:w="53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8402.11.10</w:t>
            </w:r>
          </w:p>
        </w:tc>
        <w:tc>
          <w:tcPr>
            <w:tcW w:w="129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Nồi hơi dạng ống nước với công suất hơi nước trên 45 tấn/ giờ</w:t>
            </w:r>
          </w:p>
        </w:tc>
        <w:tc>
          <w:tcPr>
            <w:tcW w:w="173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Nồi hơi có kết cấu không lắp trên các phương tiện giao thông vận tải, áp suất làm việc định mức của hơi trên 0,7 bar dùng trong công nghiệp</w:t>
            </w:r>
          </w:p>
        </w:tc>
        <w:tc>
          <w:tcPr>
            <w:tcW w:w="84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bookmarkStart w:id="64" w:name="tvpllink_olbqnwckcm"/>
            <w:r>
              <w:rPr>
                <w:rtl w:val="0"/>
              </w:rPr>
              <w:t>TCVN 7704:2007</w:t>
            </w:r>
            <w:bookmarkEnd w:id="64"/>
            <w:r>
              <w:rPr>
                <w:rtl w:val="0"/>
              </w:rPr>
              <w:t>;</w:t>
            </w:r>
          </w:p>
          <w:p>
            <w:pPr>
              <w:bidi w:val="0"/>
              <w:spacing w:before="120" w:beforeAutospacing="0" w:after="280" w:afterAutospacing="1"/>
              <w:rPr>
                <w:rtl w:val="0"/>
              </w:rPr>
            </w:pPr>
            <w:bookmarkStart w:id="65" w:name="tvpllink_xfgjyffrun"/>
            <w:r>
              <w:rPr>
                <w:rtl w:val="0"/>
              </w:rPr>
              <w:t>TCVN 6413:1998</w:t>
            </w:r>
            <w:bookmarkEnd w:id="65"/>
            <w:r>
              <w:rPr>
                <w:rtl w:val="0"/>
              </w:rPr>
              <w:t>;</w:t>
            </w:r>
          </w:p>
          <w:p>
            <w:pPr>
              <w:bidi w:val="0"/>
              <w:spacing w:before="120" w:beforeAutospacing="0" w:after="280" w:afterAutospacing="1"/>
              <w:rPr>
                <w:rtl w:val="0"/>
              </w:rPr>
            </w:pPr>
            <w:bookmarkStart w:id="66" w:name="tvpllink_keuqthxhsw_1"/>
            <w:r>
              <w:rPr>
                <w:rtl w:val="0"/>
              </w:rPr>
              <w:t>TCVN 6008:2010</w:t>
            </w:r>
            <w:bookmarkEnd w:id="66"/>
            <w:r>
              <w:rPr>
                <w:rtl w:val="0"/>
              </w:rPr>
              <w:t>;</w:t>
            </w:r>
          </w:p>
          <w:p>
            <w:pPr>
              <w:bidi w:val="0"/>
              <w:spacing w:before="120" w:beforeAutospacing="0" w:after="0" w:afterAutospacing="0"/>
              <w:rPr>
                <w:rtl w:val="0"/>
              </w:rPr>
            </w:pPr>
            <w:bookmarkStart w:id="67" w:name="tvpllink_ultveldive"/>
            <w:r>
              <w:rPr>
                <w:rtl w:val="0"/>
              </w:rPr>
              <w:t>TCVN 5346:1991</w:t>
            </w:r>
            <w:bookmarkEnd w:id="67"/>
          </w:p>
        </w:tc>
        <w:tc>
          <w:tcPr>
            <w:tcW w:w="53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8402.11.20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8402.12.11</w:t>
            </w:r>
          </w:p>
        </w:tc>
        <w:tc>
          <w:tcPr>
            <w:tcW w:w="129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Nồi hơi dạng ống nước với công suất hơi nước không quá 45 tấn/ giờ</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8402.12.19</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8402.12.21</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8402.12.29</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8402.19.11</w:t>
            </w:r>
          </w:p>
        </w:tc>
        <w:tc>
          <w:tcPr>
            <w:tcW w:w="129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Nồi hơi tạo ra hơi khác, kể cả loại nồi hơi kiểu lai ghép</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8402.19.19</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8402.19.21</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8402.19.29</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8402.20.10</w:t>
            </w:r>
          </w:p>
        </w:tc>
        <w:tc>
          <w:tcPr>
            <w:tcW w:w="129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Nồi hơi nước quá nhiệt</w:t>
            </w:r>
          </w:p>
        </w:tc>
        <w:tc>
          <w:tcPr>
            <w:tcW w:w="173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Nồi hơi nhà máy điện</w:t>
            </w:r>
          </w:p>
        </w:tc>
        <w:tc>
          <w:tcPr>
            <w:tcW w:w="84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bookmarkStart w:id="68" w:name="tvpllink_ultveldive_1"/>
            <w:r>
              <w:rPr>
                <w:rtl w:val="0"/>
              </w:rPr>
              <w:t>TCVN 5346:1991</w:t>
            </w:r>
            <w:bookmarkEnd w:id="68"/>
            <w:r>
              <w:rPr>
                <w:rtl w:val="0"/>
              </w:rPr>
              <w:t>;</w:t>
            </w:r>
          </w:p>
          <w:p>
            <w:pPr>
              <w:bidi w:val="0"/>
              <w:spacing w:before="120" w:beforeAutospacing="0" w:after="280" w:afterAutospacing="1"/>
              <w:rPr>
                <w:rtl w:val="0"/>
              </w:rPr>
            </w:pPr>
            <w:bookmarkStart w:id="69" w:name="tvpllink_olbqnwckcm_1"/>
            <w:r>
              <w:rPr>
                <w:rtl w:val="0"/>
              </w:rPr>
              <w:t>TCVN 7704:2007</w:t>
            </w:r>
            <w:bookmarkEnd w:id="69"/>
            <w:r>
              <w:rPr>
                <w:rtl w:val="0"/>
              </w:rPr>
              <w:t>;</w:t>
            </w:r>
          </w:p>
          <w:p>
            <w:pPr>
              <w:bidi w:val="0"/>
              <w:spacing w:before="120" w:beforeAutospacing="0" w:after="0" w:afterAutospacing="0"/>
              <w:rPr>
                <w:rtl w:val="0"/>
              </w:rPr>
            </w:pPr>
            <w:bookmarkStart w:id="70" w:name="tvpllink_keuqthxhsw_2"/>
            <w:r>
              <w:rPr>
                <w:rtl w:val="0"/>
              </w:rPr>
              <w:t>TCVN 6008:2010</w:t>
            </w:r>
            <w:bookmarkEnd w:id="70"/>
          </w:p>
        </w:tc>
        <w:tc>
          <w:tcPr>
            <w:tcW w:w="53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8402.20.20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8403.10.00</w:t>
            </w:r>
          </w:p>
        </w:tc>
        <w:tc>
          <w:tcPr>
            <w:tcW w:w="1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Nồi hơi nước sưởi trung tâm trừ các loại thuộc nhóm 84.02</w:t>
            </w:r>
          </w:p>
        </w:tc>
        <w:tc>
          <w:tcPr>
            <w:tcW w:w="17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shd w:val="solid" w:color="FFFFFF" w:fill="auto"/>
                <w:rtl w:val="0"/>
              </w:rPr>
              <w:t>Nồi đun nước nóng có nhiệt độ môi chất trên 115</w:t>
            </w:r>
            <w:r>
              <w:rPr>
                <w:shd w:val="solid" w:color="FFFFFF" w:fill="auto"/>
                <w:vertAlign w:val="superscript"/>
                <w:rtl w:val="0"/>
              </w:rPr>
              <w:t>o</w:t>
            </w:r>
            <w:r>
              <w:rPr>
                <w:shd w:val="solid" w:color="FFFFFF" w:fill="auto"/>
                <w:rtl w:val="0"/>
              </w:rPr>
              <w:t xml:space="preserve">C dùng trong công nghiệp </w:t>
            </w:r>
          </w:p>
        </w:tc>
        <w:tc>
          <w:tcPr>
            <w:tcW w:w="8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bookmarkStart w:id="71" w:name="tvpllink_keuqthxhsw_3"/>
            <w:r>
              <w:rPr>
                <w:rtl w:val="0"/>
              </w:rPr>
              <w:t>TCVN 6008:2010</w:t>
            </w:r>
            <w:bookmarkEnd w:id="71"/>
            <w:r>
              <w:rPr>
                <w:rtl w:val="0"/>
              </w:rPr>
              <w:t>;</w:t>
            </w:r>
          </w:p>
          <w:p>
            <w:pPr>
              <w:bidi w:val="0"/>
              <w:spacing w:before="120" w:beforeAutospacing="0" w:after="0" w:afterAutospacing="0"/>
              <w:rPr>
                <w:rtl w:val="0"/>
              </w:rPr>
            </w:pPr>
            <w:bookmarkStart w:id="72" w:name="tvpllink_ultveldive_2"/>
            <w:r>
              <w:rPr>
                <w:rtl w:val="0"/>
              </w:rPr>
              <w:t>TCVN 5346:1991</w:t>
            </w:r>
            <w:bookmarkEnd w:id="72"/>
          </w:p>
        </w:tc>
        <w:tc>
          <w:tcPr>
            <w:tcW w:w="53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8425.31.00</w:t>
            </w:r>
          </w:p>
        </w:tc>
        <w:tc>
          <w:tcPr>
            <w:tcW w:w="1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Tời ngang; tời dọc loại chạy bằng động cơ điện</w:t>
            </w:r>
          </w:p>
        </w:tc>
        <w:tc>
          <w:tcPr>
            <w:tcW w:w="17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Tời, trục tải có tải trọng từ 10.000 N trở lên và góc nâng từ 25</w:t>
            </w:r>
            <w:r>
              <w:rPr>
                <w:vertAlign w:val="superscript"/>
                <w:rtl w:val="0"/>
              </w:rPr>
              <w:t>o</w:t>
            </w:r>
            <w:r>
              <w:rPr>
                <w:rtl w:val="0"/>
              </w:rPr>
              <w:t xml:space="preserve"> đến 90</w:t>
            </w:r>
            <w:r>
              <w:rPr>
                <w:vertAlign w:val="superscript"/>
                <w:rtl w:val="0"/>
              </w:rPr>
              <w:t>o</w:t>
            </w:r>
            <w:r>
              <w:rPr>
                <w:rtl w:val="0"/>
              </w:rPr>
              <w:t xml:space="preserve"> dùng trong công nghiệp</w:t>
            </w:r>
          </w:p>
        </w:tc>
        <w:tc>
          <w:tcPr>
            <w:tcW w:w="8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bookmarkStart w:id="73" w:name="tvpllink_wgibjbqsql"/>
            <w:r>
              <w:rPr>
                <w:rtl w:val="0"/>
              </w:rPr>
              <w:t>TCVN 4244:2005</w:t>
            </w:r>
            <w:bookmarkEnd w:id="73"/>
            <w:r>
              <w:rPr>
                <w:rtl w:val="0"/>
              </w:rPr>
              <w:t>;</w:t>
            </w:r>
          </w:p>
          <w:p>
            <w:pPr>
              <w:bidi w:val="0"/>
              <w:spacing w:before="120" w:beforeAutospacing="0" w:after="280" w:afterAutospacing="1"/>
              <w:rPr>
                <w:rtl w:val="0"/>
              </w:rPr>
            </w:pPr>
            <w:bookmarkStart w:id="74" w:name="tvpllink_mqbbjbacqc"/>
            <w:r>
              <w:rPr>
                <w:rtl w:val="0"/>
              </w:rPr>
              <w:t>TCVN 5206:1990</w:t>
            </w:r>
            <w:bookmarkEnd w:id="74"/>
            <w:r>
              <w:rPr>
                <w:rtl w:val="0"/>
              </w:rPr>
              <w:t>;</w:t>
            </w:r>
          </w:p>
          <w:p>
            <w:pPr>
              <w:bidi w:val="0"/>
              <w:spacing w:before="120" w:beforeAutospacing="0" w:after="280" w:afterAutospacing="1"/>
              <w:rPr>
                <w:rtl w:val="0"/>
              </w:rPr>
            </w:pPr>
            <w:bookmarkStart w:id="75" w:name="tvpllink_jwmsveeejg"/>
            <w:r>
              <w:rPr>
                <w:rtl w:val="0"/>
              </w:rPr>
              <w:t>TCVN 5207:1990</w:t>
            </w:r>
            <w:bookmarkEnd w:id="75"/>
            <w:r>
              <w:rPr>
                <w:rtl w:val="0"/>
              </w:rPr>
              <w:t>;</w:t>
            </w:r>
          </w:p>
          <w:p>
            <w:pPr>
              <w:bidi w:val="0"/>
              <w:spacing w:before="120" w:beforeAutospacing="0" w:after="280" w:afterAutospacing="1"/>
              <w:rPr>
                <w:rtl w:val="0"/>
              </w:rPr>
            </w:pPr>
            <w:r>
              <w:rPr>
                <w:rtl w:val="0"/>
              </w:rPr>
              <w:t>TCVN 5208:1990;</w:t>
            </w:r>
          </w:p>
          <w:p>
            <w:pPr>
              <w:bidi w:val="0"/>
              <w:spacing w:before="120" w:beforeAutospacing="0" w:after="280" w:afterAutospacing="1"/>
              <w:rPr>
                <w:rtl w:val="0"/>
              </w:rPr>
            </w:pPr>
            <w:bookmarkStart w:id="76" w:name="tvpllink_hrelzkizuq"/>
            <w:r>
              <w:rPr>
                <w:rtl w:val="0"/>
              </w:rPr>
              <w:t>TCVN 5209:1990</w:t>
            </w:r>
            <w:bookmarkEnd w:id="76"/>
            <w:r>
              <w:rPr>
                <w:rtl w:val="0"/>
              </w:rPr>
              <w:t>;</w:t>
            </w:r>
          </w:p>
          <w:p>
            <w:pPr>
              <w:bidi w:val="0"/>
              <w:spacing w:before="120" w:beforeAutospacing="0" w:after="0" w:afterAutospacing="0"/>
              <w:rPr>
                <w:rtl w:val="0"/>
              </w:rPr>
            </w:pPr>
            <w:bookmarkStart w:id="77" w:name="tvpllink_zipjcpjqhi"/>
            <w:r>
              <w:rPr>
                <w:rtl w:val="0"/>
              </w:rPr>
              <w:t>QCVN 02:2016/BCT</w:t>
            </w:r>
            <w:bookmarkEnd w:id="77"/>
            <w:r>
              <w:rPr>
                <w:rtl w:val="0"/>
              </w:rPr>
              <w:fldChar w:fldCharType="begin"/>
            </w:r>
            <w:r>
              <w:rPr>
                <w:rtl w:val="0"/>
              </w:rPr>
              <w:instrText xml:space="preserve"> HYPERLINK \l "_ftn3" </w:instrText>
            </w:r>
            <w:r>
              <w:rPr>
                <w:rtl w:val="0"/>
              </w:rPr>
              <w:fldChar w:fldCharType="separate"/>
            </w:r>
            <w:r>
              <w:rPr>
                <w:color w:val="0000FF"/>
                <w:u w:val="single"/>
                <w:rtl w:val="0"/>
              </w:rPr>
              <w:t>3</w:t>
            </w:r>
            <w:r>
              <w:rPr>
                <w:rtl w:val="0"/>
              </w:rPr>
              <w:fldChar w:fldCharType="end"/>
            </w:r>
          </w:p>
        </w:tc>
        <w:tc>
          <w:tcPr>
            <w:tcW w:w="53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8479.89.39</w:t>
            </w:r>
          </w:p>
        </w:tc>
        <w:tc>
          <w:tcPr>
            <w:tcW w:w="129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Máy và thiết bị cơ khí khác</w:t>
            </w:r>
          </w:p>
        </w:tc>
        <w:tc>
          <w:tcPr>
            <w:tcW w:w="173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Trạm nạp LPG cho chai, xe bồn, xe ô tô</w:t>
            </w:r>
          </w:p>
        </w:tc>
        <w:tc>
          <w:tcPr>
            <w:tcW w:w="84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bookmarkStart w:id="78" w:name="tvpllink_qlhnnxjpog"/>
            <w:r>
              <w:rPr>
                <w:rtl w:val="0"/>
              </w:rPr>
              <w:t>TCVN 6484:1999</w:t>
            </w:r>
            <w:bookmarkEnd w:id="78"/>
            <w:r>
              <w:rPr>
                <w:rtl w:val="0"/>
              </w:rPr>
              <w:t>;</w:t>
            </w:r>
          </w:p>
          <w:p>
            <w:pPr>
              <w:bidi w:val="0"/>
              <w:spacing w:before="120" w:beforeAutospacing="0" w:after="280" w:afterAutospacing="1"/>
              <w:rPr>
                <w:rtl w:val="0"/>
              </w:rPr>
            </w:pPr>
            <w:bookmarkStart w:id="79" w:name="tvpllink_fdrngqngqc"/>
            <w:r>
              <w:rPr>
                <w:rtl w:val="0"/>
              </w:rPr>
              <w:t>TCVN 6485:1999</w:t>
            </w:r>
            <w:bookmarkEnd w:id="79"/>
            <w:r>
              <w:rPr>
                <w:rtl w:val="0"/>
              </w:rPr>
              <w:t>;</w:t>
            </w:r>
          </w:p>
          <w:p>
            <w:pPr>
              <w:bidi w:val="0"/>
              <w:spacing w:before="120" w:beforeAutospacing="0" w:after="280" w:afterAutospacing="1"/>
              <w:rPr>
                <w:rtl w:val="0"/>
              </w:rPr>
            </w:pPr>
            <w:bookmarkStart w:id="80" w:name="tvpllink_dnptnhbiob"/>
            <w:r>
              <w:rPr>
                <w:rtl w:val="0"/>
              </w:rPr>
              <w:t>TCVN 7762:2007</w:t>
            </w:r>
            <w:bookmarkEnd w:id="80"/>
            <w:r>
              <w:rPr>
                <w:rtl w:val="0"/>
              </w:rPr>
              <w:t>;</w:t>
            </w:r>
          </w:p>
          <w:p>
            <w:pPr>
              <w:bidi w:val="0"/>
              <w:spacing w:before="120" w:beforeAutospacing="0" w:after="280" w:afterAutospacing="1"/>
              <w:rPr>
                <w:rtl w:val="0"/>
              </w:rPr>
            </w:pPr>
            <w:bookmarkStart w:id="81" w:name="tvpllink_jxzfhexqqa"/>
            <w:r>
              <w:rPr>
                <w:rtl w:val="0"/>
              </w:rPr>
              <w:t>TCVN 7763:2007</w:t>
            </w:r>
            <w:bookmarkEnd w:id="81"/>
            <w:r>
              <w:rPr>
                <w:rtl w:val="0"/>
              </w:rPr>
              <w:t>;</w:t>
            </w:r>
          </w:p>
          <w:p>
            <w:pPr>
              <w:bidi w:val="0"/>
              <w:spacing w:before="120" w:beforeAutospacing="0" w:after="0" w:afterAutospacing="0"/>
              <w:rPr>
                <w:rtl w:val="0"/>
              </w:rPr>
            </w:pPr>
            <w:bookmarkStart w:id="82" w:name="tvpllink_qptkkzkhft"/>
            <w:r>
              <w:rPr>
                <w:rtl w:val="0"/>
              </w:rPr>
              <w:t>TCVN 7832:2007</w:t>
            </w:r>
            <w:bookmarkEnd w:id="82"/>
            <w:r>
              <w:rPr>
                <w:rtl w:val="0"/>
              </w:rPr>
              <w:fldChar w:fldCharType="begin"/>
            </w:r>
            <w:r>
              <w:rPr>
                <w:rtl w:val="0"/>
              </w:rPr>
              <w:instrText xml:space="preserve"> HYPERLINK \l "_ftn4" </w:instrText>
            </w:r>
            <w:r>
              <w:rPr>
                <w:rtl w:val="0"/>
              </w:rPr>
              <w:fldChar w:fldCharType="separate"/>
            </w:r>
            <w:r>
              <w:rPr>
                <w:color w:val="0000FF"/>
                <w:u w:val="single"/>
                <w:rtl w:val="0"/>
              </w:rPr>
              <w:t>4</w:t>
            </w:r>
            <w:r>
              <w:rPr>
                <w:rtl w:val="0"/>
              </w:rPr>
              <w:fldChar w:fldCharType="end"/>
            </w:r>
          </w:p>
        </w:tc>
        <w:tc>
          <w:tcPr>
            <w:tcW w:w="53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8479.89.40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8479.89.39</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73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Trạm cấp LPG</w:t>
            </w:r>
          </w:p>
        </w:tc>
        <w:tc>
          <w:tcPr>
            <w:tcW w:w="84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83" w:name="tvpllink_fxbplougee"/>
            <w:r>
              <w:rPr>
                <w:rtl w:val="0"/>
              </w:rPr>
              <w:t>QCVN 10:2012/BCT</w:t>
            </w:r>
            <w:bookmarkEnd w:id="83"/>
          </w:p>
        </w:tc>
        <w:tc>
          <w:tcPr>
            <w:tcW w:w="53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8479.89.40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8501.10.29</w:t>
            </w:r>
          </w:p>
        </w:tc>
        <w:tc>
          <w:tcPr>
            <w:tcW w:w="129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Động cơ điện</w:t>
            </w:r>
          </w:p>
        </w:tc>
        <w:tc>
          <w:tcPr>
            <w:tcW w:w="173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Động cơ điện phòng nổ</w:t>
            </w:r>
          </w:p>
        </w:tc>
        <w:tc>
          <w:tcPr>
            <w:tcW w:w="84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TCVN 7079- 1, 2, 3, 4, 5, 6, 7, 8, 9:2002 </w:t>
            </w:r>
          </w:p>
        </w:tc>
        <w:tc>
          <w:tcPr>
            <w:tcW w:w="53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8501.10.49</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8501.10.59</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8501.10.99</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8501.20.19</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8501.20.29</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8501.31.40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8501.32.22</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8501.32.32</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8501.33.00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8501.34.00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8501.40.19</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8501.40.29</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8501.51.19</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8501.52.19</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8501.52.29</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8501.52.39</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8501.53.00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8502.11.00</w:t>
            </w:r>
          </w:p>
        </w:tc>
        <w:tc>
          <w:tcPr>
            <w:tcW w:w="129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Máy phát điện </w:t>
            </w:r>
          </w:p>
        </w:tc>
        <w:tc>
          <w:tcPr>
            <w:tcW w:w="173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Máy phát điện phòng nổ</w:t>
            </w:r>
          </w:p>
        </w:tc>
        <w:tc>
          <w:tcPr>
            <w:tcW w:w="84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TCVN 7079- 1, 2, 3, 4, 5, 6, 7, 8, 9:2002 </w:t>
            </w:r>
            <w:r>
              <w:rPr>
                <w:rtl w:val="0"/>
              </w:rPr>
              <w:fldChar w:fldCharType="begin"/>
            </w:r>
            <w:r>
              <w:rPr>
                <w:rtl w:val="0"/>
              </w:rPr>
              <w:instrText xml:space="preserve"> HYPERLINK \l "_ftn5" </w:instrText>
            </w:r>
            <w:r>
              <w:rPr>
                <w:rtl w:val="0"/>
              </w:rPr>
              <w:fldChar w:fldCharType="separate"/>
            </w:r>
            <w:r>
              <w:rPr>
                <w:color w:val="0000FF"/>
                <w:u w:val="single"/>
                <w:rtl w:val="0"/>
              </w:rPr>
              <w:t>5</w:t>
            </w:r>
            <w:r>
              <w:rPr>
                <w:rtl w:val="0"/>
              </w:rPr>
              <w:fldChar w:fldCharType="end"/>
            </w:r>
            <w:r>
              <w:rPr>
                <w:rtl w:val="0"/>
              </w:rPr>
              <w:t xml:space="preserve"> </w:t>
            </w:r>
          </w:p>
        </w:tc>
        <w:tc>
          <w:tcPr>
            <w:tcW w:w="53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8502.12.10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8502.12.20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8502.13.20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8502.13.90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8502.20.10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8502.20.20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8502.20.30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8502.20.42</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8502.20.49</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8502.39.10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8502.39.20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8502.39.32</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8502.39.39</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8504.33.11</w:t>
            </w:r>
          </w:p>
        </w:tc>
        <w:tc>
          <w:tcPr>
            <w:tcW w:w="129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Máy biến áp phòng nổ</w:t>
            </w:r>
          </w:p>
        </w:tc>
        <w:tc>
          <w:tcPr>
            <w:tcW w:w="173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Máy biến áp phòng nổ</w:t>
            </w:r>
          </w:p>
        </w:tc>
        <w:tc>
          <w:tcPr>
            <w:tcW w:w="84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TCVN 7079 - 1, 2, 3, 4, 5, 6, 7, 8, 9:2002 </w:t>
            </w:r>
            <w:r>
              <w:rPr>
                <w:rtl w:val="0"/>
              </w:rPr>
              <w:fldChar w:fldCharType="begin"/>
            </w:r>
            <w:r>
              <w:rPr>
                <w:rtl w:val="0"/>
              </w:rPr>
              <w:instrText xml:space="preserve"> HYPERLINK \l "_ftn6" </w:instrText>
            </w:r>
            <w:r>
              <w:rPr>
                <w:rtl w:val="0"/>
              </w:rPr>
              <w:fldChar w:fldCharType="separate"/>
            </w:r>
            <w:r>
              <w:rPr>
                <w:color w:val="0000FF"/>
                <w:u w:val="single"/>
                <w:rtl w:val="0"/>
              </w:rPr>
              <w:t>6</w:t>
            </w:r>
            <w:r>
              <w:rPr>
                <w:rtl w:val="0"/>
              </w:rPr>
              <w:fldChar w:fldCharType="end"/>
            </w:r>
            <w:r>
              <w:rPr>
                <w:rtl w:val="0"/>
              </w:rPr>
              <w:t xml:space="preserve"> </w:t>
            </w:r>
          </w:p>
        </w:tc>
        <w:tc>
          <w:tcPr>
            <w:tcW w:w="53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8504.34.11</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8504.34.14</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8504.34.22</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8504.34.25</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8504.33.19</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8504.34.12</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8504.34.13</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8504.34.15</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8504.34.16</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8504.34.23</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8504.34.24</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8504.34.26</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8504.34.29</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8517.11.00</w:t>
            </w:r>
          </w:p>
        </w:tc>
        <w:tc>
          <w:tcPr>
            <w:tcW w:w="129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Bộ điện thoại, kể cả điện thoại cho mạng di động tế bào hoặc mạng không dây khác</w:t>
            </w:r>
          </w:p>
        </w:tc>
        <w:tc>
          <w:tcPr>
            <w:tcW w:w="173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Thiết bị thông tin phòng nổ (Điện thoại, Máy đàm thoại, Còi điện, chuông điện)</w:t>
            </w:r>
          </w:p>
        </w:tc>
        <w:tc>
          <w:tcPr>
            <w:tcW w:w="84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TCVN 7079- 1, 2, 3, 4, 5, 6, 7, 8, 9:2002 </w:t>
            </w:r>
          </w:p>
        </w:tc>
        <w:tc>
          <w:tcPr>
            <w:tcW w:w="53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8517.12.00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8517.18.00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8517.61.00</w:t>
            </w:r>
          </w:p>
        </w:tc>
        <w:tc>
          <w:tcPr>
            <w:tcW w:w="1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Thiết bị trạm gốc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8517.62.51</w:t>
            </w:r>
          </w:p>
        </w:tc>
        <w:tc>
          <w:tcPr>
            <w:tcW w:w="1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Thiết bị mạng nội bộ không dây</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8531.10.20</w:t>
            </w:r>
          </w:p>
        </w:tc>
        <w:tc>
          <w:tcPr>
            <w:tcW w:w="129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Thiết bị báo hiệu bằng âm thanh hoặc hình ảnh</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8531.10.30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8531.10.90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8531.80.10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8535.21.10</w:t>
            </w:r>
          </w:p>
        </w:tc>
        <w:tc>
          <w:tcPr>
            <w:tcW w:w="129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Bộ ngắt mạch tự động, dùng cho điện áp trên 1.000V</w:t>
            </w:r>
          </w:p>
        </w:tc>
        <w:tc>
          <w:tcPr>
            <w:tcW w:w="173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Thiết bị phân phối, đóng cắt phòng nổ (Khởi động từ, Khởi động mềm, Atomat, Máy cắt điện tự động, Rơ le dòng điện dò)</w:t>
            </w:r>
          </w:p>
        </w:tc>
        <w:tc>
          <w:tcPr>
            <w:tcW w:w="84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TCVN 7079- 1, 2, 3, 4, 5, 6, 7, 8, 9:2002 </w:t>
            </w:r>
          </w:p>
        </w:tc>
        <w:tc>
          <w:tcPr>
            <w:tcW w:w="53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8535.21.20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8535.21.90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8535.29.10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8535.29.90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8535.30.20</w:t>
            </w:r>
          </w:p>
        </w:tc>
        <w:tc>
          <w:tcPr>
            <w:tcW w:w="1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Cầu dao cách ly và thiết bị đóng - ngắt điện, dùng cho điện áp từ 66kV trở lên</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8536.20.11</w:t>
            </w:r>
          </w:p>
        </w:tc>
        <w:tc>
          <w:tcPr>
            <w:tcW w:w="129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Bộ ngắt mạch tự động, dùng cho điện áp không quá 1.000V</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8536.20.12</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8536.20.19</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8536.30.90</w:t>
            </w:r>
          </w:p>
        </w:tc>
        <w:tc>
          <w:tcPr>
            <w:tcW w:w="1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Thiết bị bảo vệ mạch điện khác, dùng cho điện áp không quá 1.000V</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53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8536.41.10</w:t>
            </w:r>
          </w:p>
        </w:tc>
        <w:tc>
          <w:tcPr>
            <w:tcW w:w="129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 </w:t>
            </w:r>
          </w:p>
          <w:p>
            <w:pPr>
              <w:bidi w:val="0"/>
              <w:spacing w:before="120" w:beforeAutospacing="0" w:after="0" w:afterAutospacing="0"/>
              <w:rPr>
                <w:rtl w:val="0"/>
              </w:rPr>
            </w:pPr>
            <w:r>
              <w:rPr>
                <w:rtl w:val="0"/>
              </w:rPr>
              <w:t>Rơ le dùng cho điện áp không quá 60V</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8536.41.20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8536.41.30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8536.41.40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8536.41.90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8536.49.10</w:t>
            </w:r>
          </w:p>
        </w:tc>
        <w:tc>
          <w:tcPr>
            <w:tcW w:w="129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Rơ le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8536.49.90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8536.50.99</w:t>
            </w:r>
          </w:p>
        </w:tc>
        <w:tc>
          <w:tcPr>
            <w:tcW w:w="1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Thiết bị đóng ngắt mạch điện khác</w:t>
            </w:r>
          </w:p>
        </w:tc>
        <w:tc>
          <w:tcPr>
            <w:tcW w:w="173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Thiết bị điều khiển phòng nổ (Bảng điều khiển, Hộp nút nhấn)</w:t>
            </w:r>
          </w:p>
        </w:tc>
        <w:tc>
          <w:tcPr>
            <w:tcW w:w="84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TCVN 7079 - 1, 2, 3, 4, 5, 6, 7, 8, 9:2002 </w:t>
            </w:r>
          </w:p>
        </w:tc>
        <w:tc>
          <w:tcPr>
            <w:tcW w:w="53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8537.10.11</w:t>
            </w:r>
          </w:p>
        </w:tc>
        <w:tc>
          <w:tcPr>
            <w:tcW w:w="129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Bảng điều khiển dùng cho điện áp không quá 1.000 V</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8537.10.19</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8537.10.92</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8537.10.99</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8537.20.21</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8537.20.29</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8543.70.90</w:t>
            </w:r>
          </w:p>
        </w:tc>
        <w:tc>
          <w:tcPr>
            <w:tcW w:w="12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Máy và thiết bị điện có chức năng riêng</w:t>
            </w:r>
          </w:p>
        </w:tc>
        <w:tc>
          <w:tcPr>
            <w:tcW w:w="17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Máy nổ mìn điện</w:t>
            </w:r>
          </w:p>
        </w:tc>
        <w:tc>
          <w:tcPr>
            <w:tcW w:w="8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84" w:name="tvpllink_scjbrddije"/>
            <w:r>
              <w:rPr>
                <w:rtl w:val="0"/>
              </w:rPr>
              <w:t>QCVN 01:2015/BCT</w:t>
            </w:r>
            <w:bookmarkEnd w:id="84"/>
          </w:p>
        </w:tc>
        <w:tc>
          <w:tcPr>
            <w:tcW w:w="53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8544.20.11</w:t>
            </w:r>
          </w:p>
        </w:tc>
        <w:tc>
          <w:tcPr>
            <w:tcW w:w="129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Dây điện, cáp điện</w:t>
            </w:r>
          </w:p>
        </w:tc>
        <w:tc>
          <w:tcPr>
            <w:tcW w:w="173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Cáp điện phòng nổ </w:t>
            </w:r>
          </w:p>
        </w:tc>
        <w:tc>
          <w:tcPr>
            <w:tcW w:w="84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TCVN 7079 - 1, 2, 3, 4, 5, 6, 7, 8, 9:2002 </w:t>
            </w:r>
          </w:p>
        </w:tc>
        <w:tc>
          <w:tcPr>
            <w:tcW w:w="53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8544.20.19</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8544.20.21</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8544.20.29</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8544.20.31</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8544.20.39</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8544.42.94</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8544.42.95</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8544.42.96</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8544.42.97</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8544.42.98</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8544.42.99</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8544.49.22</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8544.49.23</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8544.49.29</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8544.49.41</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8544.49.49</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8544.60.11</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8544.60.19</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8544.60.21</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8544.60.29</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9405.10.91</w:t>
            </w:r>
          </w:p>
        </w:tc>
        <w:tc>
          <w:tcPr>
            <w:tcW w:w="129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Bộ đèn chùm và đèn điện trần hoặc đèn điện tường khác</w:t>
            </w:r>
          </w:p>
        </w:tc>
        <w:tc>
          <w:tcPr>
            <w:tcW w:w="173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Đèn chiếu sáng phòng nổ</w:t>
            </w:r>
          </w:p>
        </w:tc>
        <w:tc>
          <w:tcPr>
            <w:tcW w:w="841"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TCVN 7079 - 1, 2, 3, 4, 5, 6, 7, 8, 9:2002 </w:t>
            </w:r>
          </w:p>
        </w:tc>
        <w:tc>
          <w:tcPr>
            <w:tcW w:w="53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0" w:type="auto"/>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9405.10.92</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9405.10.99</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9405.40.20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9405.40.40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9405.40.60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9405.40.99</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59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9405.60.90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shd w:val="clear" w:color="auto" w:fill="auto"/>
            <w:vAlign w:val="center"/>
          </w:tcPr>
          <w:p>
            <w:pPr>
              <w:bidi w:val="0"/>
              <w:spacing w:before="120" w:beforeAutospacing="0" w:after="0" w:afterAutospacing="0"/>
              <w:jc w:val="center"/>
            </w:pPr>
          </w:p>
        </w:tc>
      </w:tr>
    </w:tbl>
    <w:p>
      <w:pPr>
        <w:bidi w:val="0"/>
        <w:spacing w:before="120" w:beforeAutospacing="0" w:after="280" w:afterAutospacing="1"/>
      </w:pPr>
      <w:r>
        <w:rPr>
          <w:rtl w:val="0"/>
        </w:rPr>
        <w:t> </w:t>
      </w:r>
    </w:p>
    <w:p>
      <w:pPr>
        <w:bidi w:val="0"/>
        <w:spacing w:before="120" w:beforeAutospacing="0" w:after="280" w:afterAutospacing="1"/>
        <w:jc w:val="center"/>
      </w:pPr>
      <w:bookmarkStart w:id="85" w:name="chuong_pl_2"/>
      <w:r>
        <w:rPr>
          <w:b/>
          <w:bCs/>
          <w:rtl w:val="0"/>
        </w:rPr>
        <w:t>PHỤ LỤC 2:</w:t>
      </w:r>
      <w:bookmarkEnd w:id="85"/>
    </w:p>
    <w:p>
      <w:pPr>
        <w:bidi w:val="0"/>
        <w:spacing w:before="120" w:beforeAutospacing="0" w:after="280" w:afterAutospacing="1"/>
        <w:jc w:val="center"/>
      </w:pPr>
      <w:bookmarkStart w:id="86" w:name="chuong_pl_2_name"/>
      <w:r>
        <w:rPr>
          <w:rtl w:val="0"/>
        </w:rPr>
        <w:t>DANH MỤC CÁC MẶT HÀNG KIỂM TRA CHUYÊN NGÀNH VỀ AN TOÀN THỰC PHẨM</w:t>
      </w:r>
      <w:bookmarkEnd w:id="86"/>
      <w:r>
        <w:rPr>
          <w:rtl w:val="0"/>
        </w:rPr>
        <w:fldChar w:fldCharType="begin"/>
      </w:r>
      <w:r>
        <w:rPr>
          <w:rtl w:val="0"/>
        </w:rPr>
        <w:instrText xml:space="preserve"> HYPERLINK \l "_ftn7" </w:instrText>
      </w:r>
      <w:r>
        <w:rPr>
          <w:rtl w:val="0"/>
        </w:rPr>
        <w:fldChar w:fldCharType="separate"/>
      </w:r>
      <w:r>
        <w:rPr>
          <w:color w:val="0000FF"/>
          <w:u w:val="single"/>
          <w:rtl w:val="0"/>
        </w:rPr>
        <w:t>5</w:t>
      </w:r>
      <w:r>
        <w:rPr>
          <w:rtl w:val="0"/>
        </w:rPr>
        <w:fldChar w:fldCharType="end"/>
      </w:r>
      <w:r>
        <w:rPr>
          <w:rtl w:val="0"/>
        </w:rPr>
        <w:br/>
      </w:r>
      <w:r>
        <w:rPr>
          <w:i/>
          <w:iCs/>
          <w:rtl w:val="0"/>
        </w:rPr>
        <w:t>(Ban hành kèm theo Quyết định số 1182/QĐ-BCT ngày 06 tháng 4 năm 2021 của Bộ trưởng Bộ Công Thương)</w:t>
      </w:r>
    </w:p>
    <w:p>
      <w:pPr>
        <w:bidi w:val="0"/>
        <w:spacing w:before="120" w:beforeAutospacing="0" w:after="280" w:afterAutospacing="1"/>
        <w:jc w:val="center"/>
      </w:pPr>
      <w:bookmarkStart w:id="87" w:name="chuong_pl_2_1"/>
      <w:r>
        <w:rPr>
          <w:b/>
          <w:bCs/>
          <w:i/>
          <w:iCs/>
          <w:rtl w:val="0"/>
        </w:rPr>
        <w:t>Phụ lục 2.1: Danh mục sản phẩm sữa chế biến</w:t>
      </w:r>
      <w:bookmarkEnd w:id="87"/>
    </w:p>
    <w:tbl>
      <w:tblPr>
        <w:tblW w:w="5000" w:type="pct"/>
        <w:jc w:val="left"/>
        <w:tblCellMar>
          <w:top w:w="0" w:type="dxa"/>
          <w:left w:w="0" w:type="dxa"/>
          <w:bottom w:w="0" w:type="dxa"/>
          <w:right w:w="0" w:type="dxa"/>
        </w:tblCellMar>
      </w:tblPr>
      <w:tblGrid>
        <w:gridCol w:w="1524"/>
        <w:gridCol w:w="3881"/>
        <w:gridCol w:w="1928"/>
        <w:gridCol w:w="1306"/>
      </w:tblGrid>
      <w:tr>
        <w:tblPrEx>
          <w:tblW w:w="5000" w:type="pct"/>
          <w:jc w:val="left"/>
          <w:tblCellMar>
            <w:top w:w="0" w:type="dxa"/>
            <w:left w:w="0" w:type="dxa"/>
            <w:bottom w:w="0" w:type="dxa"/>
            <w:right w:w="0" w:type="dxa"/>
          </w:tblCellMar>
        </w:tblPrEx>
        <w:trPr>
          <w:jc w:val="left"/>
        </w:trPr>
        <w:tc>
          <w:tcPr>
            <w:tcW w:w="882"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Mã số HS</w:t>
            </w:r>
          </w:p>
        </w:tc>
        <w:tc>
          <w:tcPr>
            <w:tcW w:w="224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 xml:space="preserve">Mô tả hàng hóa theo Thông tư </w:t>
            </w:r>
            <w:bookmarkStart w:id="88" w:name="tvpllink_qtxodejolc_2"/>
            <w:r>
              <w:rPr>
                <w:b/>
                <w:bCs/>
                <w:rtl w:val="0"/>
              </w:rPr>
              <w:t>65/2017/TT-BTC</w:t>
            </w:r>
            <w:bookmarkEnd w:id="88"/>
          </w:p>
        </w:tc>
        <w:tc>
          <w:tcPr>
            <w:tcW w:w="111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Tiêu chuẩn, quy chuẩn kỹ thuật</w:t>
            </w:r>
          </w:p>
        </w:tc>
        <w:tc>
          <w:tcPr>
            <w:tcW w:w="75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Ghi chú</w:t>
            </w: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0401</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Sữa và kem, chưa cô đặc và chưa pha thêm đường hoặc chất tạo ngọt khác.</w:t>
            </w:r>
          </w:p>
        </w:tc>
        <w:tc>
          <w:tcPr>
            <w:tcW w:w="1116"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89" w:name="tvpllink_nnajpoolbt"/>
            <w:r>
              <w:rPr>
                <w:rtl w:val="0"/>
              </w:rPr>
              <w:t>QCVN 5-1:2010/BYT</w:t>
            </w:r>
            <w:bookmarkEnd w:id="89"/>
          </w:p>
        </w:tc>
        <w:tc>
          <w:tcPr>
            <w:tcW w:w="756"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Sữa dạng lỏng</w:t>
            </w: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0401.10</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Có hàm lượng chất béo không quá 1% tính theo trọng lượng: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0401.10.10</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Dạng lỏng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0401.10.90</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0401.20</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Có hàm lượng chất béo trên 1% nhưng không quá 6% tính theo trọng lượng: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0401.20.10</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Dạng lỏng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0401.20.90</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0401.40</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Có hàm lượng chất béo trên 6% nhưng không quá 10% tính theo trọng lượng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0401.40.10</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Sữa dạng lỏng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0401.40.20</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Sữa dạng đông lạnh</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0401.40.90</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0401.50</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Có hàm lượng chất béo trên 10% tính theo trọng lượng: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0401.50.10</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Dạng lỏng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0401.50.90</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0402</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Sữa và kem, đã cô đặc hoặc đã pha thêm đường hoặc chất tạo ngọt khác.</w:t>
            </w:r>
          </w:p>
        </w:tc>
        <w:tc>
          <w:tcPr>
            <w:tcW w:w="1116"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90" w:name="tvpllink_bsjbokfrre"/>
            <w:r>
              <w:rPr>
                <w:rtl w:val="0"/>
              </w:rPr>
              <w:t>QCVN 5-2:2010/BYT</w:t>
            </w:r>
            <w:bookmarkEnd w:id="90"/>
          </w:p>
        </w:tc>
        <w:tc>
          <w:tcPr>
            <w:tcW w:w="756"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Sữa dạng bột, Sữa đặc</w:t>
            </w: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0402.10</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Dạng bột, hạt hoặc các thể rắn khác, có hàm lượng chất béo, không quá 1,5% tính theo trọng lượng: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Chưa pha thêm đường hoặc chất làm ngọt khác: </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0402.10.41</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Đóng gói với trọng lượng tịnh từ 20 kg trở lên</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0402.10.42</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Đóng gói với trọng lượng tịnh từ 2kg trở xuống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0402.10.49</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0402.10.91</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Đóng gói với trọng lượng tịnh từ 20 kg trở lên</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0402.10.92</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Đóng gói với trọng lượng tịnh từ 2kg trở xuống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0402.10.99</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Dạng bột, hạt hoặc các thể rắn khác, có hàm lượng chất béo trên 1,5% tính theo trọng lượng: </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0402.21</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Chưa pha thêm đường hoặc chất làm ngọt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0402.21.20</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Đóng gói với trọng lượng tịnh từ 20 kg trở lên</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0402.21.30</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Đóng gói với trọng lượng tịnh từ 2kg trở xuống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0402.21.90</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0402.29</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0402.29.20</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Đóng gói với trọng lượng tịnh từ 20 kg trở lên</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0402.29.30</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Đóng gói với trọng lượng tịnh từ 2kg trở xuống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0402.29.90</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0402.91.00</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Chưa pha thêm đường hoặc chất tạo ngọt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0402.99.00</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0403</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Buttermilk, sữa đông và kem đông, sữa chua, kephir và sữa, kem khác đã lên men hoặc axit hóa, đã hoặc chưa cô đặc hoặc pha thêm đường hoặc chất tạo ngọt khác hoặc hương liệu hoặc bổ sung thêm hoa quả, quả hạch (nuts) hoặc ca cao</w:t>
            </w:r>
          </w:p>
        </w:tc>
        <w:tc>
          <w:tcPr>
            <w:tcW w:w="1116"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91" w:name="tvpllink_olqwnpwqgz"/>
            <w:r>
              <w:rPr>
                <w:rtl w:val="0"/>
              </w:rPr>
              <w:t>QCVN 5-5:2010/BYT</w:t>
            </w:r>
            <w:bookmarkEnd w:id="91"/>
          </w:p>
        </w:tc>
        <w:tc>
          <w:tcPr>
            <w:tcW w:w="756"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Sữa lên men</w:t>
            </w: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0403.10</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Sữa chua:</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Dạng lỏng, đã hoặc chưa cô đặc: </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0403.10.21</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Đã thêm hương liệu hoặc thêm hoa quả (kể cả thịt quả và mứt), quả hạch (nuts) hoặc ca cao</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0403.10.29</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0403.10.91</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Loại khác: Đã thêm hương liệu hoặc thêm hoa quả (kể cả thịt quả và mứt), quả hạch (nuts) hoặc ca cao</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0403.10.99</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0403.90</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0403.90.10</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Buttermilk</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0403.90.90</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0404</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Whey, đã hoặc chưa cô đặc hoặc pha thêm đường hoặc chất tạo ngọt khác; các sản phẩm có chứa thành phần tự nhiên của sữa, đã hoặc chưa pha thêm đường hoặc chất tạo ngọt khác, chưa được chi tiết hoặc ghi ở nơi khác.</w:t>
            </w:r>
          </w:p>
        </w:tc>
        <w:tc>
          <w:tcPr>
            <w:tcW w:w="1116"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QCVN 5-2:2017/BYT</w:t>
            </w:r>
          </w:p>
        </w:tc>
        <w:tc>
          <w:tcPr>
            <w:tcW w:w="756"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Sữa dạng bột, Sữa đặc</w:t>
            </w: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0404.10</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Whey và whey đã cải biến, đã hoặc chưa cô đặc hoặc pha thêm đường hoặc chất tạo ngọt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0404.10.10</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Dạng bột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0404.10.90</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0404.90.00</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0405</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Bơ và các chất béo và các loại dầu khác tách từ sữa; chất phết từ bơ sữa (dairy spreads).</w:t>
            </w:r>
          </w:p>
        </w:tc>
        <w:tc>
          <w:tcPr>
            <w:tcW w:w="1116"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92" w:name="tvpllink_rimkfxnzjj"/>
            <w:r>
              <w:rPr>
                <w:rtl w:val="0"/>
              </w:rPr>
              <w:t>QCVN 5-4:2010/BYT</w:t>
            </w:r>
            <w:bookmarkEnd w:id="92"/>
          </w:p>
        </w:tc>
        <w:tc>
          <w:tcPr>
            <w:tcW w:w="756"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sản phẩm khác từ sữa (Bơ)</w:t>
            </w: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0405.10.00</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Bơ</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0405.20.00</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Chất phết từ bơ sữa </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0405.90</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0405.90.10</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Chất béo khan của bơ </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0405.90.20</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Dầu bơ (butter oil)</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0405.90.30</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Ghee</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0405.90.90</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04.06</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Pho mát và curd.</w:t>
            </w:r>
          </w:p>
        </w:tc>
        <w:tc>
          <w:tcPr>
            <w:tcW w:w="1116"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93" w:name="tvpllink_xptniclpzg"/>
            <w:r>
              <w:rPr>
                <w:rtl w:val="0"/>
              </w:rPr>
              <w:t>QCVN 5-3:2010/BYT</w:t>
            </w:r>
            <w:bookmarkEnd w:id="93"/>
          </w:p>
        </w:tc>
        <w:tc>
          <w:tcPr>
            <w:tcW w:w="756"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sản phẩm khác từ sữa (Pho mát)</w:t>
            </w: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0406.10</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Pho mát tươi (chưa ủ chín hoặc chưa xử lý), kể cả pho mát whey, và curd: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0406.10.10</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Pho mát tươi (chưa ủ chín hoặc chưa xử lý), kể cả pho mát whey</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0406.10.20</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curd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0406.20</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Pho mát đã xát nhỏ hoặc đã làm thành bột, của tất cả các loại</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0406.20.10</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Đóng gói với trọng lượng cả bì trên 20 kg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0406.20.90</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0406.30.00</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Pho mát đã chế biến, chưa xát nhỏ hoặc chưa làm thành bột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0406.40.00</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Pho mát vân xanh và pho mát khác có vân được sản xuất từ men Penicillium roqueforti</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0406.90.00</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Pho mát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2105.00.00</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Kem lạnh và sản phẩm ăn được tương tự khác, có hoặc không chứa cacao </w:t>
            </w:r>
          </w:p>
        </w:tc>
        <w:tc>
          <w:tcPr>
            <w:tcW w:w="111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bookmarkStart w:id="94" w:name="tvpllink_ydhcmayuej"/>
            <w:r>
              <w:rPr>
                <w:rtl w:val="0"/>
              </w:rPr>
              <w:t>QCVN số 8-1:2011/BYT</w:t>
            </w:r>
            <w:bookmarkEnd w:id="94"/>
          </w:p>
          <w:p>
            <w:pPr>
              <w:bidi w:val="0"/>
              <w:spacing w:before="120" w:beforeAutospacing="0" w:after="280" w:afterAutospacing="1"/>
              <w:jc w:val="center"/>
              <w:rPr>
                <w:rtl w:val="0"/>
              </w:rPr>
            </w:pPr>
            <w:bookmarkStart w:id="95" w:name="tvpllink_guoutdhhho"/>
            <w:r>
              <w:rPr>
                <w:rtl w:val="0"/>
              </w:rPr>
              <w:t>QCVN 8-2:2011/BYT</w:t>
            </w:r>
            <w:bookmarkEnd w:id="95"/>
          </w:p>
          <w:p>
            <w:pPr>
              <w:bidi w:val="0"/>
              <w:spacing w:before="120" w:beforeAutospacing="0" w:after="0" w:afterAutospacing="0"/>
              <w:jc w:val="center"/>
              <w:rPr>
                <w:rtl w:val="0"/>
              </w:rPr>
            </w:pPr>
            <w:bookmarkStart w:id="96" w:name="tvpllink_hokulkgtqj"/>
            <w:r>
              <w:rPr>
                <w:rtl w:val="0"/>
              </w:rPr>
              <w:t>QCVN số 8-3:2012/BYT</w:t>
            </w:r>
            <w:bookmarkEnd w:id="96"/>
          </w:p>
        </w:tc>
        <w:tc>
          <w:tcPr>
            <w:tcW w:w="7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Kem sữa</w:t>
            </w: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2202.99.20</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Đồ uống sữa đậu nành</w:t>
            </w:r>
          </w:p>
        </w:tc>
        <w:tc>
          <w:tcPr>
            <w:tcW w:w="111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bookmarkStart w:id="97" w:name="tvpllink_ydhcmayuej_1"/>
            <w:r>
              <w:rPr>
                <w:rtl w:val="0"/>
              </w:rPr>
              <w:t>QCVN số 8-1:2011/BYT</w:t>
            </w:r>
            <w:bookmarkEnd w:id="97"/>
          </w:p>
          <w:p>
            <w:pPr>
              <w:bidi w:val="0"/>
              <w:spacing w:before="120" w:beforeAutospacing="0" w:after="280" w:afterAutospacing="1"/>
              <w:jc w:val="center"/>
              <w:rPr>
                <w:rtl w:val="0"/>
              </w:rPr>
            </w:pPr>
            <w:bookmarkStart w:id="98" w:name="tvpllink_guoutdhhho_1"/>
            <w:r>
              <w:rPr>
                <w:rtl w:val="0"/>
              </w:rPr>
              <w:t>QCVN 8-2:2011/BYT</w:t>
            </w:r>
            <w:bookmarkEnd w:id="98"/>
          </w:p>
          <w:p>
            <w:pPr>
              <w:bidi w:val="0"/>
              <w:spacing w:before="120" w:beforeAutospacing="0" w:after="0" w:afterAutospacing="0"/>
              <w:jc w:val="center"/>
              <w:rPr>
                <w:rtl w:val="0"/>
              </w:rPr>
            </w:pPr>
            <w:bookmarkStart w:id="99" w:name="tvpllink_nvfslzbvwy"/>
            <w:r>
              <w:rPr>
                <w:rtl w:val="0"/>
              </w:rPr>
              <w:t>QCVN 6-2:2010/BYT</w:t>
            </w:r>
            <w:bookmarkEnd w:id="99"/>
          </w:p>
        </w:tc>
        <w:tc>
          <w:tcPr>
            <w:tcW w:w="75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Sữa đậu nành</w:t>
            </w: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1901.90.31</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Chứa sữa</w:t>
            </w:r>
          </w:p>
        </w:tc>
        <w:tc>
          <w:tcPr>
            <w:tcW w:w="1116"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r>
              <w:rPr>
                <w:rtl w:val="0"/>
              </w:rPr>
              <w:t>QCVN 5-1, 2, 3, 4, 5:2010/BYT</w:t>
            </w:r>
          </w:p>
          <w:p>
            <w:pPr>
              <w:bidi w:val="0"/>
              <w:spacing w:before="120" w:beforeAutospacing="0" w:after="0" w:afterAutospacing="0"/>
              <w:jc w:val="center"/>
              <w:rPr>
                <w:rtl w:val="0"/>
              </w:rPr>
            </w:pPr>
            <w:r>
              <w:rPr>
                <w:rtl w:val="0"/>
              </w:rPr>
              <w:t> </w:t>
            </w:r>
          </w:p>
        </w:tc>
        <w:tc>
          <w:tcPr>
            <w:tcW w:w="756"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sản phẩm khác từ sữa chế biến</w:t>
            </w: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1901.90.32</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Loại khác, chứa bột ca cao</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1901.90.39</w:t>
            </w:r>
          </w:p>
        </w:tc>
        <w:tc>
          <w:tcPr>
            <w:tcW w:w="224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bl>
    <w:p>
      <w:pPr>
        <w:bidi w:val="0"/>
        <w:spacing w:before="120" w:beforeAutospacing="0" w:after="280" w:afterAutospacing="1"/>
      </w:pPr>
      <w:r>
        <w:rPr>
          <w:rtl w:val="0"/>
        </w:rPr>
        <w:t> </w:t>
      </w:r>
    </w:p>
    <w:p>
      <w:pPr>
        <w:bidi w:val="0"/>
        <w:spacing w:before="120" w:beforeAutospacing="0" w:after="280" w:afterAutospacing="1"/>
        <w:jc w:val="center"/>
      </w:pPr>
      <w:bookmarkStart w:id="100" w:name="chuong_pl_2_2"/>
      <w:r>
        <w:rPr>
          <w:b/>
          <w:bCs/>
          <w:i/>
          <w:iCs/>
          <w:rtl w:val="0"/>
        </w:rPr>
        <w:t>Phụ lục 2.2: Danh mục sản phẩm nước giải khát, rượu, bia, cồn và đồ uống có cồn</w:t>
      </w:r>
      <w:bookmarkEnd w:id="100"/>
    </w:p>
    <w:tbl>
      <w:tblPr>
        <w:tblW w:w="5000" w:type="pct"/>
        <w:jc w:val="left"/>
        <w:tblCellMar>
          <w:top w:w="0" w:type="dxa"/>
          <w:left w:w="0" w:type="dxa"/>
          <w:bottom w:w="0" w:type="dxa"/>
          <w:right w:w="0" w:type="dxa"/>
        </w:tblCellMar>
      </w:tblPr>
      <w:tblGrid>
        <w:gridCol w:w="1548"/>
        <w:gridCol w:w="3681"/>
        <w:gridCol w:w="1970"/>
        <w:gridCol w:w="1441"/>
      </w:tblGrid>
      <w:tr>
        <w:tblPrEx>
          <w:tblW w:w="5000" w:type="pct"/>
          <w:jc w:val="left"/>
          <w:tblCellMar>
            <w:top w:w="0" w:type="dxa"/>
            <w:left w:w="0" w:type="dxa"/>
            <w:bottom w:w="0" w:type="dxa"/>
            <w:right w:w="0" w:type="dxa"/>
          </w:tblCellMar>
        </w:tblPrEx>
        <w:trPr>
          <w:jc w:val="left"/>
        </w:trPr>
        <w:tc>
          <w:tcPr>
            <w:tcW w:w="896"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Mã số HS</w:t>
            </w:r>
          </w:p>
        </w:tc>
        <w:tc>
          <w:tcPr>
            <w:tcW w:w="213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xml:space="preserve">Mô tả hàng hóa theo Thông tư </w:t>
            </w:r>
            <w:bookmarkStart w:id="101" w:name="tvpllink_qtxodejolc_3"/>
            <w:r>
              <w:rPr>
                <w:b/>
                <w:bCs/>
                <w:rtl w:val="0"/>
              </w:rPr>
              <w:t>65/2017/TT-BTC</w:t>
            </w:r>
            <w:bookmarkEnd w:id="101"/>
          </w:p>
        </w:tc>
        <w:tc>
          <w:tcPr>
            <w:tcW w:w="114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Tiêu chuẩn, quy chuẩn kỹ thuật</w:t>
            </w:r>
          </w:p>
        </w:tc>
        <w:tc>
          <w:tcPr>
            <w:tcW w:w="83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Ghi chú</w:t>
            </w: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2009</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nước ép trái cây (kể cả hèm nho) và nước rau ép, chưa lên men và chưa pha thêm rượu, đã hoặc chưa pha thêm đường hoặc chất tạo ngọt khác</w:t>
            </w:r>
          </w:p>
        </w:tc>
        <w:tc>
          <w:tcPr>
            <w:tcW w:w="114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102" w:name="tvpllink_nvfslzbvwy_1"/>
            <w:r>
              <w:rPr>
                <w:rtl w:val="0"/>
              </w:rPr>
              <w:t>QCVN 6-2:2010/BYT</w:t>
            </w:r>
            <w:bookmarkEnd w:id="102"/>
          </w:p>
        </w:tc>
        <w:tc>
          <w:tcPr>
            <w:tcW w:w="834"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Nước giải khát dùng ngay</w:t>
            </w: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Nước cam ép:</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2009.11.00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Đông lạnh</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2009.12.00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Không đông lạnh, với trị giá Brix không quá 20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2009.19.00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Nước bưởi ép (kể cả nước quả bưởi chùm):</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2009.21.00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Với trị giá Brix không quá 20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2009.29.00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Nước ép từ một loại quả thuộc chi cam quýt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2009.31.00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Với trị giá Brix không quá 20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2009.39.00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Nước dứa ép:</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2009.41.00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Với trị giá Brix không quá 20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2009.49.00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2009.50.00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Nước cà chua ép</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Nước nho ép (kể cả hèm nho):</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2009.61.00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Với trị giá Brix không quá 30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2009.69.00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Nước táo ép:</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2009.71.00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Với trị giá Brix không quá 20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2009.79.00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Nước ép từ một loại quả hoặc rau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2201</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Nước có ga, chưa pha thêm đường hoặc chất tạo ngọt khác hay hương liệu; nước đá và tuyết</w:t>
            </w:r>
          </w:p>
        </w:tc>
        <w:tc>
          <w:tcPr>
            <w:tcW w:w="114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jc w:val="center"/>
            </w:pPr>
            <w:bookmarkStart w:id="103" w:name="tvpllink_nvfslzbvwy_2"/>
            <w:r>
              <w:rPr>
                <w:rtl w:val="0"/>
              </w:rPr>
              <w:t>QCVN 6-2:2010/BYT</w:t>
            </w:r>
            <w:bookmarkEnd w:id="103"/>
          </w:p>
          <w:p>
            <w:pPr>
              <w:bidi w:val="0"/>
              <w:spacing w:before="120" w:beforeAutospacing="0" w:after="0" w:afterAutospacing="0"/>
              <w:jc w:val="center"/>
              <w:rPr>
                <w:rtl w:val="0"/>
              </w:rPr>
            </w:pPr>
            <w:bookmarkStart w:id="104" w:name="tvpllink_ydhcmayuej_2"/>
            <w:r>
              <w:rPr>
                <w:rtl w:val="0"/>
              </w:rPr>
              <w:t>QCVN 8-1:2011/BYT</w:t>
            </w:r>
            <w:bookmarkEnd w:id="104"/>
          </w:p>
        </w:tc>
        <w:tc>
          <w:tcPr>
            <w:tcW w:w="834"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Nước giải khát dùng ngay (không bao gồm nước khoáng, nước tinh khiết)</w:t>
            </w: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2201.10.20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Nước có ga</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2201.90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2201.90.90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2202</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Nước, kể cả nước khoáng và Nước có ga, đã pha thêm đường hoặc chất tạo ngọt khác hay hương liệu, và đồ uống không chứa cồn khác, không bao gồm nước quả ép hoặc nước rau ép thuộc nhóm 20.09</w:t>
            </w:r>
          </w:p>
        </w:tc>
        <w:tc>
          <w:tcPr>
            <w:tcW w:w="114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105" w:name="tvpllink_nvfslzbvwy_3"/>
            <w:r>
              <w:rPr>
                <w:rtl w:val="0"/>
              </w:rPr>
              <w:t>QCVN 6-2:2010/BYT</w:t>
            </w:r>
            <w:bookmarkEnd w:id="105"/>
          </w:p>
        </w:tc>
        <w:tc>
          <w:tcPr>
            <w:tcW w:w="8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Nước giải khát</w:t>
            </w: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2202.10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Nước, kể cả nước khoáng và Nước có ga, đã pha thêm đường hoặc chất tạo ngọt khác hay hương liệu:</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834"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Nước giải khát dùng ngay (không bao gồm nước khoáng, nước tinh khiết)</w:t>
            </w: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2202.10.10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Nước khoáng xô đa hoặc nước có ga, có hương liệu</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2202.10.90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2202.91.00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Bia không cồn</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8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Bia</w:t>
            </w: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2202.99</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834"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Nước giải khát dùng ngay</w:t>
            </w: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2202.99.40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Đồ uống có chứa cà phê hoặc đồ uống có hương liệu cà phê</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2202.99.50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Đồ uống không có ga khác dùng ngay được không cần pha loãng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2202.99.90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2203</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Bia sản xuất từ malt.</w:t>
            </w:r>
          </w:p>
        </w:tc>
        <w:tc>
          <w:tcPr>
            <w:tcW w:w="114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106" w:name="tvpllink_ymbjkbsztr"/>
            <w:r>
              <w:rPr>
                <w:rtl w:val="0"/>
              </w:rPr>
              <w:t>QCVN 6-3:2010/BYT</w:t>
            </w:r>
            <w:bookmarkEnd w:id="106"/>
          </w:p>
        </w:tc>
        <w:tc>
          <w:tcPr>
            <w:tcW w:w="834"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Bia</w:t>
            </w: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Bia đen hoặc bia nâu:</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2203.00.11</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Có nồng độ cồn không quá 5,8% tính theo thể tích</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2203.00.19</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Loại khác, kể cả bia ale:</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2203.00.91</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Có nồng độ cồn không quá 5,8% tính theo thể tích</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2203.00.99</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2204</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Rượu vang làm từ nho tươi, kể cả rượu vang cao độ; hèm nho trừ loại thuộc nhóm 20.09</w:t>
            </w:r>
          </w:p>
        </w:tc>
        <w:tc>
          <w:tcPr>
            <w:tcW w:w="114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107" w:name="tvpllink_ymbjkbsztr_1"/>
            <w:r>
              <w:rPr>
                <w:rtl w:val="0"/>
              </w:rPr>
              <w:t>QCVN 6-3:2010/BYT</w:t>
            </w:r>
            <w:bookmarkEnd w:id="107"/>
          </w:p>
        </w:tc>
        <w:tc>
          <w:tcPr>
            <w:tcW w:w="8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Rượu vang</w:t>
            </w: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2204.10.00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Rượu vang nổ</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8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Rượu vang có gas (vang nổ)</w:t>
            </w: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Rượu vang khác; hèm nho đã pha cồn để ngăn ngừa hoặc cản sự lên men:</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834"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Rượu vang không có gas</w:t>
            </w: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2204.21</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Loại trong đồ đựng không quá 2 lít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Rượu vang: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2204.21.11</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Có nồng độ cồn không quá 15% tính theo thể tích</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2204.21.13</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Có nồng độ cồn trên 15% nhưng không quá 23% tính theo thể tích</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2204.21.14</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Có nồng độ cồn trên 23% tính theo thể tích</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Hèm nho đã pha cồn để ngăn ngừa hoặc cản sự lên men:</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2204.21.21</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Có nồng độ cồn không quá 15% tính theo thể tích</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2204.21.22</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Có nồng độ cồn trên 15% tính theo thể tích</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2204.22</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Loại trong đồ đựng trên 2lít nhưng không vượt quá 10 lít: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Rượu vang: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2204.22.11</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Có nồng độ cồn không quá 15% tính theo thể tích</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2204.22.12</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Có nồng độ cồn trên 15% nhưng không quá 23% tính theo thể tích</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2204.22.13</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Có nồng độ cồn trên 23% tính theo thể tích</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Hèm nho đã pha cồn để ngăn ngừa hoặc cản sự lên men:</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2204.22.21</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Có nồng độ cồn không quá 15% tính theo thể tích</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2204.22.22</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Có nồng độ cồn trên 15% tính theo thể tích</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2204.29</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834"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Rượu vang không có gas</w:t>
            </w: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Rượu vang: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2204.29.11</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Có nồng độ cồn không quá 15% tính theo thể tích</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2204.29.13</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Có nồng độ cồn trên 15% nhưng không quá 23% tính theo thể tích</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2204.29.14</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Có nồng độ cồn trên 23% tính theo thể tích</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Hèm nho đã pha cồn để ngăn ngừa hoặc cản sự lên men:</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2204.29.21</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Có nồng độ cồn không quá 15% tính theo thể tích</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2204.29.22</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Có nồng độ cồn trên 15% tính theo thể tích</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2204.30.10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Có nồng độ cồn không quá 15% tính theo thể tích</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2204.30.20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Có nồng độ cồn trên 15% tính theo thể tích</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2205</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Rượu Vermouth và rượu vang khác làm từ nho tươi đã pha thêm hương liệu từ thảo mộc hoặc chất thơm</w:t>
            </w:r>
          </w:p>
        </w:tc>
        <w:tc>
          <w:tcPr>
            <w:tcW w:w="114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108" w:name="tvpllink_ymbjkbsztr_2"/>
            <w:r>
              <w:rPr>
                <w:rtl w:val="0"/>
              </w:rPr>
              <w:t>QCVN 6-3:2010/BYT</w:t>
            </w:r>
            <w:bookmarkEnd w:id="108"/>
          </w:p>
        </w:tc>
        <w:tc>
          <w:tcPr>
            <w:tcW w:w="834"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Rượu vang không có gas</w:t>
            </w: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2205.10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Loại trong đồ đựng không quá 2 lít: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2205.10.10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Có nồng độ cồn không quá 15% tính theo thể tích</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2205.10.20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Có nồng độ cồn trên 15% tính theo thể tích</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2205.90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2205.90.10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Có nồng độ cồn không quá 15% tính theo thể tích</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2205.90.20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Có nồng độ cồn trên 15% tính theo thể tích</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2206</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Đồ uống đã lên men khác (ví dụ, vang táo, vang lê, vang mật ong, rượu sakê); hỗn hợp của đồ uống đã lên men và hỗn hợp của đồ uống đã lên men với đồ uống không chứa cồn, chưa chi tiết hay ghi ở nơi khác</w:t>
            </w:r>
          </w:p>
        </w:tc>
        <w:tc>
          <w:tcPr>
            <w:tcW w:w="114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109" w:name="tvpllink_ymbjkbsztr_3"/>
            <w:r>
              <w:rPr>
                <w:rtl w:val="0"/>
              </w:rPr>
              <w:t>QCVN 6-3:2010/BYT</w:t>
            </w:r>
            <w:bookmarkEnd w:id="109"/>
          </w:p>
        </w:tc>
        <w:tc>
          <w:tcPr>
            <w:tcW w:w="8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2206.00.10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Vang táo hoặc vang lê</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8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Rượu vang, rượu trái cây</w:t>
            </w: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2206.00.20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Rượu sake</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834"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Đồ uống có cồn khác</w:t>
            </w: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Toddy cọ dừa:</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2206.00.31</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Loại trong đồ đựng không quá 2 lít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2206.00.39</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Shandy:</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2206.00.41</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Có nồng độ cồn không quá 1,14% tính theo thể tích</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2206.00.49</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834"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Rượu trắng, rượu vodka</w:t>
            </w: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2206.00.91</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Rượu gạo khác (kể cả rượu gạo bổ) </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2206.00.99</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2208</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Cồn ê-ti-lích chưa biến tính có nồng độ cồn dưới 80% tính theo thể tích; rượu mạnh, rượu mùi và đồ uống có rượu khác.</w:t>
            </w:r>
          </w:p>
        </w:tc>
        <w:tc>
          <w:tcPr>
            <w:tcW w:w="114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110" w:name="tvpllink_ymbjkbsztr_4"/>
            <w:r>
              <w:rPr>
                <w:rtl w:val="0"/>
              </w:rPr>
              <w:t>QCVN 6-3:2010/BYT</w:t>
            </w:r>
            <w:bookmarkEnd w:id="110"/>
          </w:p>
        </w:tc>
        <w:tc>
          <w:tcPr>
            <w:tcW w:w="834"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Rượu cao độ, rượu mùi</w:t>
            </w: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2208.20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Rượu mạnh thu được từ cất rượu vang nho hoặc bã nho:</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2208.20.50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Rượu brandy</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2208.20.90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2208.30.00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Rượu whisky</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2208.40.00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Rượu rum và rượu mạnh khác được cất từ các sản phẩm mía đường lên men</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2208.50.00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Rượu gin và rượu Geneva</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2208.60.00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Rượu vodka</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8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Rượu trắng, rượu vodka</w:t>
            </w: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2208.70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Rượu mùi:</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834"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Rượu mùi</w:t>
            </w: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2208.70.10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Có nồng độ cồn không vượt quá 57% tính theo thể tích</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2208.70.90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2208.90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834"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Đồ uống có cồn khác</w:t>
            </w: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2208.90.10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Rượu bổ sam-su có nồng độ cồn không quá 40% tính theo thể tích</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2208.90.20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Rượu bổ sam-su có nồng độ cồn trên 40% tính theo thể tích</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2208.90.30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Rượu sam-su khác có nồng độ cồn không quá 40% tính theo thể tích</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2208.90.40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Rượu sam-su khác có nồng độ cồn trên 40% tính theo thể tích</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2208.90.50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Rượu arrack hoặc rượu dứa có nồng độ cồn không quá 40% tính theo thể tích</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2208.90.60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Rượu arrack hoặc rượu dứa có nồng độ cồn trên 40% tính theo thể tích</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2208.90.70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Rượu đắng và các loại đồ uống tương tự có nồng độ cồn không quá 57% tính theo thể tích</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2208.90.80</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Rượu đắng và các loại đồ uống tương tự có nồng độ cồn trên 57% tính theo thể tích</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2208.90.91</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Có nồng độ cồn không quá 1,14% tính theo thể tích</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2208.90.99</w:t>
            </w:r>
          </w:p>
        </w:tc>
        <w:tc>
          <w:tcPr>
            <w:tcW w:w="213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bl>
    <w:p>
      <w:pPr>
        <w:bidi w:val="0"/>
        <w:spacing w:before="120" w:beforeAutospacing="0" w:after="280" w:afterAutospacing="1"/>
        <w:jc w:val="center"/>
      </w:pPr>
      <w:r>
        <w:rPr>
          <w:b/>
          <w:bCs/>
          <w:i/>
          <w:iCs/>
          <w:rtl w:val="0"/>
        </w:rPr>
        <w:t> </w:t>
      </w:r>
    </w:p>
    <w:p>
      <w:pPr>
        <w:bidi w:val="0"/>
        <w:spacing w:before="120" w:beforeAutospacing="0" w:after="280" w:afterAutospacing="1"/>
        <w:jc w:val="center"/>
      </w:pPr>
      <w:bookmarkStart w:id="111" w:name="chuong_pl_2_3"/>
      <w:r>
        <w:rPr>
          <w:b/>
          <w:bCs/>
          <w:i/>
          <w:iCs/>
          <w:rtl w:val="0"/>
        </w:rPr>
        <w:t>Phụ lục 2.3: Danh mục sản phẩm dầu thực vật và các sản phẩm chế biến từ dầu thực vật</w:t>
      </w:r>
      <w:bookmarkEnd w:id="111"/>
    </w:p>
    <w:tbl>
      <w:tblPr>
        <w:tblW w:w="5000" w:type="pct"/>
        <w:jc w:val="left"/>
        <w:tblCellMar>
          <w:top w:w="0" w:type="dxa"/>
          <w:left w:w="0" w:type="dxa"/>
          <w:bottom w:w="0" w:type="dxa"/>
          <w:right w:w="0" w:type="dxa"/>
        </w:tblCellMar>
      </w:tblPr>
      <w:tblGrid>
        <w:gridCol w:w="1514"/>
        <w:gridCol w:w="3515"/>
        <w:gridCol w:w="2065"/>
        <w:gridCol w:w="1547"/>
      </w:tblGrid>
      <w:tr>
        <w:tblPrEx>
          <w:tblW w:w="5000" w:type="pct"/>
          <w:jc w:val="left"/>
          <w:tblCellMar>
            <w:top w:w="0" w:type="dxa"/>
            <w:left w:w="0" w:type="dxa"/>
            <w:bottom w:w="0" w:type="dxa"/>
            <w:right w:w="0" w:type="dxa"/>
          </w:tblCellMar>
        </w:tblPrEx>
        <w:trPr>
          <w:jc w:val="left"/>
        </w:trPr>
        <w:tc>
          <w:tcPr>
            <w:tcW w:w="876"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Mã HS</w:t>
            </w:r>
          </w:p>
        </w:tc>
        <w:tc>
          <w:tcPr>
            <w:tcW w:w="203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 xml:space="preserve">Mô tả hàng hóa theo Thông tư </w:t>
            </w:r>
            <w:bookmarkStart w:id="112" w:name="tvpllink_qtxodejolc_4"/>
            <w:r>
              <w:rPr>
                <w:b/>
                <w:bCs/>
                <w:rtl w:val="0"/>
              </w:rPr>
              <w:t>65/2017/TT-BTC</w:t>
            </w:r>
            <w:bookmarkEnd w:id="112"/>
          </w:p>
        </w:tc>
        <w:tc>
          <w:tcPr>
            <w:tcW w:w="1195"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b/>
                <w:bCs/>
                <w:rtl w:val="0"/>
              </w:rPr>
              <w:t>Tiêu chuẩn, quy chuẩn kỹ thuật</w:t>
            </w:r>
          </w:p>
        </w:tc>
        <w:tc>
          <w:tcPr>
            <w:tcW w:w="895"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b/>
                <w:bCs/>
                <w:rtl w:val="0"/>
              </w:rPr>
              <w:t>Ghi chú</w:t>
            </w: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1507.90.90</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Loại khác</w:t>
            </w:r>
          </w:p>
        </w:tc>
        <w:tc>
          <w:tcPr>
            <w:tcW w:w="1195"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280" w:afterAutospacing="1"/>
            </w:pPr>
            <w:bookmarkStart w:id="113" w:name="tvpllink_ydhcmayuej_3"/>
            <w:r>
              <w:rPr>
                <w:rtl w:val="0"/>
              </w:rPr>
              <w:t>QCVN 8-1:2011/BYT</w:t>
            </w:r>
            <w:bookmarkEnd w:id="113"/>
            <w:r>
              <w:rPr>
                <w:rtl w:val="0"/>
              </w:rPr>
              <w:t>;</w:t>
            </w:r>
          </w:p>
          <w:p>
            <w:pPr>
              <w:bidi w:val="0"/>
              <w:spacing w:before="120" w:beforeAutospacing="0" w:after="280" w:afterAutospacing="1"/>
              <w:rPr>
                <w:rtl w:val="0"/>
              </w:rPr>
            </w:pPr>
            <w:bookmarkStart w:id="114" w:name="tvpllink_guoutdhhho_2"/>
            <w:r>
              <w:rPr>
                <w:rtl w:val="0"/>
              </w:rPr>
              <w:t>QCVN 8-2:2011/BYT</w:t>
            </w:r>
            <w:bookmarkEnd w:id="114"/>
            <w:r>
              <w:rPr>
                <w:rtl w:val="0"/>
              </w:rPr>
              <w:t>;</w:t>
            </w:r>
          </w:p>
          <w:p>
            <w:pPr>
              <w:bidi w:val="0"/>
              <w:spacing w:before="120" w:beforeAutospacing="0" w:after="280" w:afterAutospacing="1"/>
              <w:rPr>
                <w:rtl w:val="0"/>
              </w:rPr>
            </w:pPr>
            <w:bookmarkStart w:id="115" w:name="tvpllink_hokulkgtqj_2"/>
            <w:r>
              <w:rPr>
                <w:rtl w:val="0"/>
              </w:rPr>
              <w:t>QCVN 8-3:2011/BYT</w:t>
            </w:r>
            <w:bookmarkEnd w:id="115"/>
            <w:r>
              <w:rPr>
                <w:rtl w:val="0"/>
              </w:rPr>
              <w:t>;</w:t>
            </w:r>
          </w:p>
          <w:p>
            <w:pPr>
              <w:bidi w:val="0"/>
              <w:spacing w:before="120" w:beforeAutospacing="0" w:after="280" w:afterAutospacing="1"/>
              <w:rPr>
                <w:rtl w:val="0"/>
              </w:rPr>
            </w:pPr>
            <w:r>
              <w:rPr>
                <w:rtl w:val="0"/>
              </w:rPr>
              <w:t xml:space="preserve">Quyết định số </w:t>
            </w:r>
            <w:bookmarkStart w:id="116" w:name="tvpllink_lwanmkojzc"/>
            <w:r>
              <w:rPr>
                <w:rtl w:val="0"/>
              </w:rPr>
              <w:t>46/2007/QĐ-BYT</w:t>
            </w:r>
            <w:bookmarkEnd w:id="116"/>
            <w:r>
              <w:rPr>
                <w:rtl w:val="0"/>
              </w:rPr>
              <w:t>;</w:t>
            </w:r>
          </w:p>
          <w:p>
            <w:pPr>
              <w:bidi w:val="0"/>
              <w:spacing w:before="120" w:beforeAutospacing="0" w:after="0" w:afterAutospacing="0"/>
              <w:rPr>
                <w:rtl w:val="0"/>
              </w:rPr>
            </w:pPr>
            <w:bookmarkStart w:id="117" w:name="tvpllink_wynqdtuxhn"/>
            <w:r>
              <w:rPr>
                <w:rtl w:val="0"/>
              </w:rPr>
              <w:t>TCVN 7597:2013 (CODEX STAN 210-1999, Amd. 2013)</w:t>
            </w:r>
            <w:bookmarkEnd w:id="117"/>
          </w:p>
        </w:tc>
        <w:tc>
          <w:tcPr>
            <w:tcW w:w="89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Dầu đậu tương</w:t>
            </w: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1508.90.00</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89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Dầu lạc đã tinh chế</w:t>
            </w: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1509</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Dầu ô liu và các phần phân đoạn của dầu ô liu, đã hoặc chưa tinh chế nhưng không thay đổi về mặt hóa học.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895"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Dầu ô liu</w:t>
            </w: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1509.10</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Dầu nguyên chất (virgin)</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1509.10.10</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Đóng gói với trọng lượng tịnh không quá 30 kg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895"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Dầu oliu nguyên chất</w:t>
            </w: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1509.10.90</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1510.00.90</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1511.90.20</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Dầu tinh chế</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phần phân đoạn của dầu tinh chế:</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phần phân đoạn thể rắn:</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1511.90.31</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Có chỉ số iốt từ 30 trở lên, nhưng dưới 40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1511.90.32</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phần phân đoạn thể lỏng: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1511.90.36</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Đóng gói với trọng lượng tịnh không quá 25kg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1511.90.37</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Loại khác, có chỉ số iốt từ 55 trở lên, nhưng dưới 60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1511.90.39</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phần phân đoạn của dầu chưa tinh chế:</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1512.19.20</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Đã qua tinh chế</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1512.19.90</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89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Dầu cây rum đã tinh chế</w:t>
            </w: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1512.29.90</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Loại khác </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89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Dầu hạt bông đã tinh chế</w:t>
            </w: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1513.19.90</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89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Dầu dừa đã tinh chế; Dầu ba-ba-su đã tinh chế</w:t>
            </w: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1513.21.90</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895"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Dầu dừa (copra), dầu hạt cọ hoặc dầu cọ ba-ba-su</w:t>
            </w: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1513.29.94</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Olein hạt cọ, đã tinh chế, tẩy và khử mùi (RBD)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1513.29.95</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Dầu hạt cọ, đã tinh chế, tẩy và khử mùi (RBD) </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1514.19.20</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Đã tinh chế</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1514.91.10</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Dầu hạt cải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1514.99.90</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Dầu hạt lanh và các phần phân đoạn của dầu hạt lanh:</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89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Dầu hạt lanh</w:t>
            </w: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1515.19.00</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Loại khác </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89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Dầu hạt lanh đã tinh chế</w:t>
            </w: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895"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280" w:afterAutospacing="1"/>
              <w:jc w:val="center"/>
            </w:pPr>
            <w:r>
              <w:rPr>
                <w:rtl w:val="0"/>
              </w:rPr>
              <w:t>Các loại dầu khác</w:t>
            </w:r>
          </w:p>
          <w:p>
            <w:pPr>
              <w:bidi w:val="0"/>
              <w:spacing w:before="120" w:beforeAutospacing="0" w:after="0" w:afterAutospacing="0"/>
              <w:jc w:val="center"/>
              <w:rPr>
                <w:rtl w:val="0"/>
              </w:rPr>
            </w:pPr>
            <w:r>
              <w:rPr>
                <w:rtl w:val="0"/>
              </w:rPr>
              <w:t> </w:t>
            </w: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1515.29.91</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phần phân đoạn thể rắn</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1515.29.99</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1515.30.90</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89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Dầu thầu dầu đã tinh chế</w:t>
            </w: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1515.50.90</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89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Dầu hạt vừng đã tinh chế</w:t>
            </w: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1515.90.19</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895"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Các loại dầu khác</w:t>
            </w: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1515.90.29</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Loại khác </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1515.90.39</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1515.90.99</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89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Dầu cám gạo</w:t>
            </w: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1516.20.96</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Stearin hạt cọ đã tinh chế, tẩy và khử mùi (RBD)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895" w:type="pc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Các loại dầu khác (có nguồn gốc thực vật)</w:t>
            </w: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1517</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Margarine; các hỗn hợp hoặc các chế phẩm ăn được của chất béo hoặc thực vật hoặc các phần phân đoạn của các loại chất béo hoặc dầu khác nhau thuộc Chương này trừ chất béo hoặc dầu ăn được hoặc các phần phân đoạn của chúng thuốc nhóm 15.16.</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895"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Các loại dầu khác (có nguồn gốc thực vật)</w:t>
            </w: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1517.10</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Margarin, trừ loại margarin lỏng: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1517.10.10</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Đóng bao bì kín khí để bán lẻ</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1517.10.90</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1517.90</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1517.90.10</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giả ghee</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1517.90.20</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Margarin lỏng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1517.90.30</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Của loại sử dụng như chế phẩm tách khuôn</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giả mỡ lợn; shortening: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1517.90.43</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Shortening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1517.90.44</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Chế phẩm giả mỡ lợn</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1517.90.50</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Hỗn hợp hoặc chế phẩm ở dạng rắn khác của chất béo hay dầu thực vật hoặc của các phần phân đoạn của chúng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Hỗn hợp hoặc chế phẩm ở dạng lỏng khác của chất béo hay dầu thực vật hoặc của các phần phân đoạn của chúng: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1517.90.61</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Thành phần chủ yếu là dầu lạc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1517.90.62</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Thành phần chủ yếu là dầu cọ thô</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1517.90.63</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Thành phần chủ yếu là dầu cọ khác, đóng gói với trọng lượng tịnh không quá 25kg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1517.90.64</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Thành phần chủ yếu là dầu cọ khác, đóng gói với trọng lượng tịnh trên 25kg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1517.90.65</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Thành phần chủ yếu là dầu hạt cọ</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1517.90.66</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Thành phần chủ yếu là olein hạt cọ</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1517.90.67</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Thành phần chủ yếu là dầu đậu nành hoặc dầu dừa</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1517.90.68</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Thành phần chủ yếu là dầu hạt illipe</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1517.90.69</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1517.90.90</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1518.00.14</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Dầu lạc, dầu đậu nành, dầu cọ hoặc dầu dừa</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895"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Các loại dầu khác (có nguồn gốc thực vật)</w:t>
            </w: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1518.00.15</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Dầu hạt lanh và các phần phân đoạn của dầu hạt lanh</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1518.00.16</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Dầu ô liu và các phần phân đoạn của dầu ô liu</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87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1518.00.19</w:t>
            </w:r>
          </w:p>
        </w:tc>
        <w:tc>
          <w:tcPr>
            <w:tcW w:w="203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bl>
    <w:p>
      <w:pPr>
        <w:bidi w:val="0"/>
        <w:spacing w:before="120" w:beforeAutospacing="0" w:after="280" w:afterAutospacing="1"/>
      </w:pPr>
      <w:r>
        <w:rPr>
          <w:b/>
          <w:bCs/>
          <w:i/>
          <w:iCs/>
          <w:rtl w:val="0"/>
        </w:rPr>
        <w:t> </w:t>
      </w:r>
    </w:p>
    <w:p>
      <w:pPr>
        <w:bidi w:val="0"/>
        <w:spacing w:before="120" w:beforeAutospacing="0" w:after="280" w:afterAutospacing="1"/>
        <w:jc w:val="center"/>
      </w:pPr>
      <w:bookmarkStart w:id="118" w:name="chuong_pl_2_4"/>
      <w:r>
        <w:rPr>
          <w:b/>
          <w:bCs/>
          <w:i/>
          <w:iCs/>
          <w:rtl w:val="0"/>
        </w:rPr>
        <w:t>Phụ lục 2.4: Danh mục sản phẩm bột, tinh bột, bánh, mứt, kẹo</w:t>
      </w:r>
      <w:bookmarkEnd w:id="118"/>
    </w:p>
    <w:tbl>
      <w:tblPr>
        <w:tblW w:w="4925" w:type="pct"/>
        <w:jc w:val="left"/>
        <w:tblCellMar>
          <w:top w:w="0" w:type="dxa"/>
          <w:left w:w="0" w:type="dxa"/>
          <w:bottom w:w="0" w:type="dxa"/>
          <w:right w:w="0" w:type="dxa"/>
        </w:tblCellMar>
      </w:tblPr>
      <w:tblGrid>
        <w:gridCol w:w="1265"/>
        <w:gridCol w:w="3979"/>
        <w:gridCol w:w="2008"/>
        <w:gridCol w:w="1258"/>
      </w:tblGrid>
      <w:tr>
        <w:tblPrEx>
          <w:tblW w:w="4925" w:type="pct"/>
          <w:jc w:val="left"/>
          <w:tblCellMar>
            <w:top w:w="0" w:type="dxa"/>
            <w:left w:w="0" w:type="dxa"/>
            <w:bottom w:w="0" w:type="dxa"/>
            <w:right w:w="0" w:type="dxa"/>
          </w:tblCellMar>
        </w:tblPrEx>
        <w:trPr>
          <w:jc w:val="left"/>
        </w:trPr>
        <w:tc>
          <w:tcPr>
            <w:tcW w:w="743" w:type="pct"/>
            <w:tcBorders>
              <w:top w:val="single" w:sz="8" w:space="0" w:color="auto"/>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Mã HS</w:t>
            </w:r>
          </w:p>
        </w:tc>
        <w:tc>
          <w:tcPr>
            <w:tcW w:w="2338"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 xml:space="preserve">Mô tả hàng hóa theo Thông tư </w:t>
            </w:r>
            <w:bookmarkStart w:id="119" w:name="tvpllink_qtxodejolc_5"/>
            <w:r>
              <w:rPr>
                <w:b/>
                <w:bCs/>
                <w:rtl w:val="0"/>
              </w:rPr>
              <w:t>65/2017/TT-BTC</w:t>
            </w:r>
            <w:bookmarkEnd w:id="119"/>
          </w:p>
        </w:tc>
        <w:tc>
          <w:tcPr>
            <w:tcW w:w="1180"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Tiêu chuẩn, quy chuẩn kỹ thuật</w:t>
            </w:r>
          </w:p>
        </w:tc>
        <w:tc>
          <w:tcPr>
            <w:tcW w:w="739"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Ghi chú</w:t>
            </w: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1101</w:t>
            </w:r>
          </w:p>
        </w:tc>
        <w:tc>
          <w:tcPr>
            <w:tcW w:w="233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Bột mì hoặc bột meslin</w:t>
            </w:r>
          </w:p>
        </w:tc>
        <w:tc>
          <w:tcPr>
            <w:tcW w:w="1180" w:type="pct"/>
            <w:vMerge w:val="restart"/>
            <w:tcBorders>
              <w:top w:val="nil"/>
              <w:left w:val="nil"/>
              <w:bottom w:val="single" w:sz="8" w:space="0" w:color="auto"/>
              <w:right w:val="single" w:sz="8" w:space="0" w:color="auto"/>
            </w:tcBorders>
            <w:shd w:val="clear" w:color="auto" w:fill="auto"/>
            <w:tcMar>
              <w:top w:w="0" w:type="dxa"/>
              <w:left w:w="10" w:type="dxa"/>
              <w:bottom w:w="0" w:type="dxa"/>
              <w:right w:w="10" w:type="dxa"/>
            </w:tcMar>
          </w:tcPr>
          <w:p>
            <w:pPr>
              <w:bidi w:val="0"/>
              <w:spacing w:before="120" w:beforeAutospacing="0" w:after="280" w:afterAutospacing="1"/>
            </w:pPr>
            <w:bookmarkStart w:id="120" w:name="tvpllink_ydhcmayuej_4"/>
            <w:r>
              <w:rPr>
                <w:rtl w:val="0"/>
              </w:rPr>
              <w:t>QCVN 8-1:2011/BYT</w:t>
            </w:r>
            <w:bookmarkEnd w:id="120"/>
            <w:r>
              <w:rPr>
                <w:rtl w:val="0"/>
              </w:rPr>
              <w:t>;</w:t>
            </w:r>
          </w:p>
          <w:p>
            <w:pPr>
              <w:bidi w:val="0"/>
              <w:spacing w:before="120" w:beforeAutospacing="0" w:after="280" w:afterAutospacing="1"/>
              <w:rPr>
                <w:rtl w:val="0"/>
              </w:rPr>
            </w:pPr>
            <w:bookmarkStart w:id="121" w:name="tvpllink_guoutdhhho_3"/>
            <w:r>
              <w:rPr>
                <w:rtl w:val="0"/>
              </w:rPr>
              <w:t>QCVN 8-2:2011/BYT</w:t>
            </w:r>
            <w:bookmarkEnd w:id="121"/>
            <w:r>
              <w:rPr>
                <w:rtl w:val="0"/>
              </w:rPr>
              <w:t>;</w:t>
            </w:r>
          </w:p>
          <w:p>
            <w:pPr>
              <w:bidi w:val="0"/>
              <w:spacing w:before="120" w:beforeAutospacing="0" w:after="280" w:afterAutospacing="1"/>
              <w:rPr>
                <w:rtl w:val="0"/>
              </w:rPr>
            </w:pPr>
            <w:bookmarkStart w:id="122" w:name="tvpllink_hokulkgtqj_1"/>
            <w:r>
              <w:rPr>
                <w:rtl w:val="0"/>
              </w:rPr>
              <w:t>QCVN 8-3:2011/BYT</w:t>
            </w:r>
            <w:bookmarkEnd w:id="122"/>
            <w:r>
              <w:rPr>
                <w:rtl w:val="0"/>
              </w:rPr>
              <w:t>;</w:t>
            </w:r>
          </w:p>
          <w:p>
            <w:pPr>
              <w:bidi w:val="0"/>
              <w:spacing w:before="120" w:beforeAutospacing="0" w:after="280" w:afterAutospacing="1"/>
              <w:rPr>
                <w:rtl w:val="0"/>
              </w:rPr>
            </w:pPr>
            <w:r>
              <w:rPr>
                <w:rtl w:val="0"/>
              </w:rPr>
              <w:t xml:space="preserve">Quyết định số </w:t>
            </w:r>
            <w:bookmarkStart w:id="123" w:name="tvpllink_lwanmkojzc_1"/>
            <w:r>
              <w:rPr>
                <w:rtl w:val="0"/>
              </w:rPr>
              <w:t>46/2007/QĐ-BYT</w:t>
            </w:r>
            <w:bookmarkEnd w:id="123"/>
            <w:r>
              <w:rPr>
                <w:rtl w:val="0"/>
              </w:rPr>
              <w:t xml:space="preserve"> </w:t>
            </w:r>
          </w:p>
          <w:p>
            <w:pPr>
              <w:bidi w:val="0"/>
              <w:spacing w:before="120" w:beforeAutospacing="0" w:after="0" w:afterAutospacing="0"/>
              <w:jc w:val="center"/>
              <w:rPr>
                <w:rtl w:val="0"/>
              </w:rPr>
            </w:pPr>
            <w:r>
              <w:rPr>
                <w:rtl w:val="0"/>
              </w:rPr>
              <w:t> </w:t>
            </w:r>
          </w:p>
        </w:tc>
        <w:tc>
          <w:tcPr>
            <w:tcW w:w="739" w:type="pct"/>
            <w:tcBorders>
              <w:top w:val="nil"/>
              <w:left w:val="nil"/>
              <w:bottom w:val="single" w:sz="8" w:space="0" w:color="auto"/>
              <w:right w:val="single" w:sz="8" w:space="0" w:color="auto"/>
            </w:tcBorders>
            <w:shd w:val="clear" w:color="auto" w:fill="auto"/>
            <w:tcMar>
              <w:top w:w="0" w:type="dxa"/>
              <w:left w:w="10" w:type="dxa"/>
              <w:bottom w:w="0" w:type="dxa"/>
              <w:right w:w="10" w:type="dxa"/>
            </w:tcMar>
          </w:tcPr>
          <w:p>
            <w:pPr>
              <w:bidi w:val="0"/>
              <w:spacing w:before="120" w:beforeAutospacing="0" w:after="0" w:afterAutospacing="0"/>
              <w:jc w:val="center"/>
            </w:pPr>
            <w:r>
              <w:rPr>
                <w:rtl w:val="0"/>
              </w:rPr>
              <w:t> </w:t>
            </w: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233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Bột mì:</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739" w:type="pct"/>
            <w:tcBorders>
              <w:top w:val="nil"/>
              <w:left w:val="nil"/>
              <w:bottom w:val="single" w:sz="8" w:space="0" w:color="auto"/>
              <w:right w:val="single" w:sz="8" w:space="0" w:color="auto"/>
            </w:tcBorders>
            <w:shd w:val="clear" w:color="auto" w:fill="auto"/>
            <w:tcMar>
              <w:top w:w="0" w:type="dxa"/>
              <w:left w:w="10" w:type="dxa"/>
              <w:bottom w:w="0" w:type="dxa"/>
              <w:right w:w="10" w:type="dxa"/>
            </w:tcMar>
          </w:tcPr>
          <w:p>
            <w:pPr>
              <w:bidi w:val="0"/>
              <w:spacing w:before="120" w:beforeAutospacing="0" w:after="0" w:afterAutospacing="0"/>
              <w:jc w:val="center"/>
            </w:pPr>
            <w:r>
              <w:rPr>
                <w:rtl w:val="0"/>
              </w:rPr>
              <w:t> </w:t>
            </w: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1101.00.11</w:t>
            </w:r>
          </w:p>
        </w:tc>
        <w:tc>
          <w:tcPr>
            <w:tcW w:w="233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Tăng cường vi chất dinh dưỡng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739" w:type="pct"/>
            <w:tcBorders>
              <w:top w:val="nil"/>
              <w:left w:val="nil"/>
              <w:bottom w:val="single" w:sz="8" w:space="0" w:color="auto"/>
              <w:right w:val="single" w:sz="8" w:space="0" w:color="auto"/>
            </w:tcBorders>
            <w:shd w:val="clear" w:color="auto" w:fill="auto"/>
            <w:tcMar>
              <w:top w:w="0" w:type="dxa"/>
              <w:left w:w="10" w:type="dxa"/>
              <w:bottom w:w="0" w:type="dxa"/>
              <w:right w:w="10" w:type="dxa"/>
            </w:tcMar>
          </w:tcPr>
          <w:p>
            <w:pPr>
              <w:bidi w:val="0"/>
              <w:spacing w:before="120" w:beforeAutospacing="0" w:after="0" w:afterAutospacing="0"/>
              <w:jc w:val="center"/>
            </w:pPr>
            <w:r>
              <w:rPr>
                <w:rtl w:val="0"/>
              </w:rPr>
              <w:t>Bột mì tăng cường Sắt và Kẽm</w:t>
            </w: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1101.00.19</w:t>
            </w:r>
          </w:p>
        </w:tc>
        <w:tc>
          <w:tcPr>
            <w:tcW w:w="233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739" w:type="pct"/>
            <w:tcBorders>
              <w:top w:val="nil"/>
              <w:left w:val="nil"/>
              <w:bottom w:val="single" w:sz="8" w:space="0" w:color="auto"/>
              <w:right w:val="single" w:sz="8" w:space="0" w:color="auto"/>
            </w:tcBorders>
            <w:shd w:val="clear" w:color="auto" w:fill="auto"/>
            <w:tcMar>
              <w:top w:w="0" w:type="dxa"/>
              <w:left w:w="10" w:type="dxa"/>
              <w:bottom w:w="0" w:type="dxa"/>
              <w:right w:w="10" w:type="dxa"/>
            </w:tcMar>
          </w:tcPr>
          <w:p>
            <w:pPr>
              <w:bidi w:val="0"/>
              <w:spacing w:before="120" w:beforeAutospacing="0" w:after="0" w:afterAutospacing="0"/>
              <w:jc w:val="center"/>
            </w:pPr>
            <w:r>
              <w:rPr>
                <w:rtl w:val="0"/>
              </w:rPr>
              <w:t>Bột mì thông thường</w:t>
            </w: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1101.00.20</w:t>
            </w:r>
          </w:p>
        </w:tc>
        <w:tc>
          <w:tcPr>
            <w:tcW w:w="233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Bột meslin</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739" w:type="pct"/>
            <w:tcBorders>
              <w:top w:val="nil"/>
              <w:left w:val="nil"/>
              <w:bottom w:val="single" w:sz="8" w:space="0" w:color="auto"/>
              <w:right w:val="single" w:sz="8" w:space="0" w:color="auto"/>
            </w:tcBorders>
            <w:shd w:val="clear" w:color="auto" w:fill="auto"/>
            <w:tcMar>
              <w:top w:w="0" w:type="dxa"/>
              <w:left w:w="10" w:type="dxa"/>
              <w:bottom w:w="0" w:type="dxa"/>
              <w:right w:w="10" w:type="dxa"/>
            </w:tcMar>
          </w:tcPr>
          <w:p>
            <w:pPr>
              <w:bidi w:val="0"/>
              <w:spacing w:before="120" w:beforeAutospacing="0" w:after="0" w:afterAutospacing="0"/>
              <w:jc w:val="center"/>
            </w:pPr>
            <w:r>
              <w:rPr>
                <w:rtl w:val="0"/>
              </w:rPr>
              <w:t> </w:t>
            </w: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1102</w:t>
            </w:r>
          </w:p>
        </w:tc>
        <w:tc>
          <w:tcPr>
            <w:tcW w:w="233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Bột ngũ cốc, trừ bột mì hoặc bột meslin</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739" w:type="pct"/>
            <w:vMerge w:val="restart"/>
            <w:tcBorders>
              <w:top w:val="nil"/>
              <w:left w:val="nil"/>
              <w:bottom w:val="single" w:sz="8" w:space="0" w:color="auto"/>
              <w:right w:val="single" w:sz="8" w:space="0" w:color="auto"/>
            </w:tcBorders>
            <w:shd w:val="clear" w:color="auto" w:fill="auto"/>
            <w:tcMar>
              <w:top w:w="0" w:type="dxa"/>
              <w:left w:w="10" w:type="dxa"/>
              <w:bottom w:w="0" w:type="dxa"/>
              <w:right w:w="10" w:type="dxa"/>
            </w:tcMar>
          </w:tcPr>
          <w:p>
            <w:pPr>
              <w:bidi w:val="0"/>
              <w:spacing w:before="120" w:beforeAutospacing="0" w:after="0" w:afterAutospacing="0"/>
              <w:jc w:val="center"/>
            </w:pPr>
            <w:r>
              <w:rPr>
                <w:rtl w:val="0"/>
              </w:rPr>
              <w:t>Bột ngũ cốc</w:t>
            </w: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1102.20.00</w:t>
            </w:r>
          </w:p>
        </w:tc>
        <w:tc>
          <w:tcPr>
            <w:tcW w:w="233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Bột ngô</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1102.90</w:t>
            </w:r>
          </w:p>
        </w:tc>
        <w:tc>
          <w:tcPr>
            <w:tcW w:w="233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1102.90.10</w:t>
            </w:r>
          </w:p>
        </w:tc>
        <w:tc>
          <w:tcPr>
            <w:tcW w:w="233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Bột gạo</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1102.90.20</w:t>
            </w:r>
          </w:p>
        </w:tc>
        <w:tc>
          <w:tcPr>
            <w:tcW w:w="233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Bột lúa mạch đen</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1102.90.90</w:t>
            </w:r>
          </w:p>
        </w:tc>
        <w:tc>
          <w:tcPr>
            <w:tcW w:w="233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11.05.10.00</w:t>
            </w:r>
          </w:p>
        </w:tc>
        <w:tc>
          <w:tcPr>
            <w:tcW w:w="233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Bột, bột thô và bột mịn</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739" w:type="pct"/>
            <w:tcBorders>
              <w:top w:val="nil"/>
              <w:left w:val="nil"/>
              <w:bottom w:val="single" w:sz="8" w:space="0" w:color="auto"/>
              <w:right w:val="single" w:sz="8" w:space="0" w:color="auto"/>
            </w:tcBorders>
            <w:shd w:val="clear" w:color="auto" w:fill="auto"/>
            <w:tcMar>
              <w:top w:w="0" w:type="dxa"/>
              <w:left w:w="10" w:type="dxa"/>
              <w:bottom w:w="0" w:type="dxa"/>
              <w:right w:w="10" w:type="dxa"/>
            </w:tcMar>
          </w:tcPr>
          <w:p>
            <w:pPr>
              <w:bidi w:val="0"/>
              <w:spacing w:before="120" w:beforeAutospacing="0" w:after="0" w:afterAutospacing="0"/>
              <w:jc w:val="center"/>
            </w:pPr>
            <w:r>
              <w:rPr>
                <w:rtl w:val="0"/>
              </w:rPr>
              <w:t>Bột khoai tây</w:t>
            </w: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1107</w:t>
            </w:r>
          </w:p>
        </w:tc>
        <w:tc>
          <w:tcPr>
            <w:tcW w:w="233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Malt, rang hoặc chưa rang.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739" w:type="pct"/>
            <w:vMerge w:val="restart"/>
            <w:tcBorders>
              <w:top w:val="nil"/>
              <w:left w:val="nil"/>
              <w:bottom w:val="single" w:sz="8" w:space="0" w:color="auto"/>
              <w:right w:val="single" w:sz="8" w:space="0" w:color="auto"/>
            </w:tcBorders>
            <w:shd w:val="clear" w:color="auto" w:fill="auto"/>
            <w:tcMar>
              <w:top w:w="0" w:type="dxa"/>
              <w:left w:w="10" w:type="dxa"/>
              <w:bottom w:w="0" w:type="dxa"/>
              <w:right w:w="10" w:type="dxa"/>
            </w:tcMar>
          </w:tcPr>
          <w:p>
            <w:pPr>
              <w:bidi w:val="0"/>
              <w:spacing w:before="120" w:beforeAutospacing="0" w:after="0" w:afterAutospacing="0"/>
              <w:jc w:val="center"/>
            </w:pPr>
            <w:r>
              <w:rPr>
                <w:rtl w:val="0"/>
              </w:rPr>
              <w:t>Malt: Rang hoặc chưa rang</w:t>
            </w: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1107.10.00</w:t>
            </w:r>
          </w:p>
        </w:tc>
        <w:tc>
          <w:tcPr>
            <w:tcW w:w="233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Chưa rang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1107.20.00</w:t>
            </w:r>
          </w:p>
        </w:tc>
        <w:tc>
          <w:tcPr>
            <w:tcW w:w="233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Đã rang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1108</w:t>
            </w:r>
          </w:p>
        </w:tc>
        <w:tc>
          <w:tcPr>
            <w:tcW w:w="233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Tinh bột; inulin.</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739" w:type="pct"/>
            <w:vMerge w:val="restart"/>
            <w:tcBorders>
              <w:top w:val="nil"/>
              <w:left w:val="nil"/>
              <w:bottom w:val="single" w:sz="8" w:space="0" w:color="auto"/>
              <w:right w:val="single" w:sz="8" w:space="0" w:color="auto"/>
            </w:tcBorders>
            <w:shd w:val="clear" w:color="auto" w:fill="auto"/>
            <w:tcMar>
              <w:top w:w="0" w:type="dxa"/>
              <w:left w:w="10" w:type="dxa"/>
              <w:bottom w:w="0" w:type="dxa"/>
              <w:right w:w="10" w:type="dxa"/>
            </w:tcMar>
          </w:tcPr>
          <w:p>
            <w:pPr>
              <w:bidi w:val="0"/>
              <w:spacing w:before="120" w:beforeAutospacing="0" w:after="0" w:afterAutospacing="0"/>
              <w:jc w:val="center"/>
            </w:pPr>
            <w:r>
              <w:rPr>
                <w:rtl w:val="0"/>
              </w:rPr>
              <w:t>Tinh bột: Mì, ngô, khoai tây, sắn, khác</w:t>
            </w: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233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Tinh bột: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1108.11.00</w:t>
            </w:r>
          </w:p>
        </w:tc>
        <w:tc>
          <w:tcPr>
            <w:tcW w:w="233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Tinh bột mì</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1108.12.00</w:t>
            </w:r>
          </w:p>
        </w:tc>
        <w:tc>
          <w:tcPr>
            <w:tcW w:w="233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Tinh bột ngô</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1108.13.00</w:t>
            </w:r>
          </w:p>
        </w:tc>
        <w:tc>
          <w:tcPr>
            <w:tcW w:w="233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Tinh bột khoai tây</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1108.14.00</w:t>
            </w:r>
          </w:p>
        </w:tc>
        <w:tc>
          <w:tcPr>
            <w:tcW w:w="233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Tinh bột sắn</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1108.19</w:t>
            </w:r>
          </w:p>
        </w:tc>
        <w:tc>
          <w:tcPr>
            <w:tcW w:w="233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Tinh bột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1108.19.90</w:t>
            </w:r>
          </w:p>
        </w:tc>
        <w:tc>
          <w:tcPr>
            <w:tcW w:w="233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1108.20.00</w:t>
            </w:r>
          </w:p>
        </w:tc>
        <w:tc>
          <w:tcPr>
            <w:tcW w:w="233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Inulin</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739" w:type="pct"/>
            <w:tcBorders>
              <w:top w:val="nil"/>
              <w:left w:val="nil"/>
              <w:bottom w:val="single" w:sz="8" w:space="0" w:color="auto"/>
              <w:right w:val="single" w:sz="8" w:space="0" w:color="auto"/>
            </w:tcBorders>
            <w:shd w:val="clear" w:color="auto" w:fill="auto"/>
            <w:tcMar>
              <w:top w:w="0" w:type="dxa"/>
              <w:left w:w="10" w:type="dxa"/>
              <w:bottom w:w="0" w:type="dxa"/>
              <w:right w:w="10" w:type="dxa"/>
            </w:tcMar>
          </w:tcPr>
          <w:p>
            <w:pPr>
              <w:bidi w:val="0"/>
              <w:spacing w:before="120" w:beforeAutospacing="0" w:after="0" w:afterAutospacing="0"/>
              <w:jc w:val="center"/>
            </w:pPr>
            <w:r>
              <w:rPr>
                <w:rtl w:val="0"/>
              </w:rPr>
              <w:t>Inulin</w:t>
            </w: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1109.00.00</w:t>
            </w:r>
          </w:p>
        </w:tc>
        <w:tc>
          <w:tcPr>
            <w:tcW w:w="233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Gluten lúa mì, đã hoặc chưa làm khô.</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739" w:type="pct"/>
            <w:tcBorders>
              <w:top w:val="nil"/>
              <w:left w:val="nil"/>
              <w:bottom w:val="single" w:sz="8" w:space="0" w:color="auto"/>
              <w:right w:val="single" w:sz="8" w:space="0" w:color="auto"/>
            </w:tcBorders>
            <w:shd w:val="clear" w:color="auto" w:fill="auto"/>
            <w:tcMar>
              <w:top w:w="0" w:type="dxa"/>
              <w:left w:w="10" w:type="dxa"/>
              <w:bottom w:w="0" w:type="dxa"/>
              <w:right w:w="10" w:type="dxa"/>
            </w:tcMar>
          </w:tcPr>
          <w:p>
            <w:pPr>
              <w:bidi w:val="0"/>
              <w:spacing w:before="120" w:beforeAutospacing="0" w:after="0" w:afterAutospacing="0"/>
              <w:jc w:val="center"/>
            </w:pPr>
            <w:r>
              <w:rPr>
                <w:rtl w:val="0"/>
              </w:rPr>
              <w:t>Gluten lúa mì</w:t>
            </w: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1704</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loại kẹo đường (kể cả sô cô la trắng), không chứa ca cao.</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73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1704.10.00</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Kẹo cao su, đã hoặc chưa bọc đường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73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Kẹo cao su, đã hoặc chưa bọc đường</w:t>
            </w: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1704.90</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73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loại kẹo cứng, mềm có đường không chứa cacao</w:t>
            </w: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1704.90.10</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Kẹo và viên ngậm ho</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1704.90.20</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Sô cô la trắng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1704.90.91</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 - - Dẻo, có chứa gelatin </w:t>
            </w:r>
            <w:r>
              <w:rPr>
                <w:vertAlign w:val="superscript"/>
                <w:rtl w:val="0"/>
              </w:rPr>
              <w:t>(SEN)</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1704.90.99</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1806.90.30</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Các chế phẩm thực phẩm từ bột, bột thô, tinh bột hoặc chiết xuất malt, có chứa từ 40% trở lên nhưng không quá 50% trọng lượng là ca cao đã khử toàn bộ chất béo</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1806.90.90</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73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sản phẩm bánh kẹo khác</w:t>
            </w: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1901.90.99</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73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1902</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Sản phẩm từ bột nhào (pasta), đã hoặc chưa làm chín hoặc nhồi (thịt hoặc các chất khác) hoặc chế biến cách khác, như spaghetti, macaroni, mì sợi (noodle), mì dẹt (lasagne), gnocchi, ravioli, cannelloni; couscous, đã hoặc chưa chế biến.</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73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Sản phẩm từ bột nhào, đã hoặc chưa làm chín: spaghety, macaroni, mì sợi, mì ăn liền, mì dẹt, gnochi, ravioli, cannelloni, cháo ăn liền, bánh đa, phở, bún, miến...</w:t>
            </w: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Sản phẩm từ bột nhào chưa làm chín, chưa nhồi hoặc chưa chế biến cách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1902.11.00</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Có chứa trứng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1902.19</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1902.19.20</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Mì, bún làm từ gạo (kể cả bee hoon)</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Miến:</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1902.19.31</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Từ ngô</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1902.19.39</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1902.19.40</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Mì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1902.19.90</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1902.20</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Sản phẩm từ bột nhào đã được nhồi, đã hoặc chưa nấu chín hay chế biến cách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1902.20.10</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Được nhồi thịt hoặc phụ phẩm dạng thịt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1902.20.30</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Được nhồi cá, động vật giáp xác hoặc động vật thân mềm</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1902.20.90</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1902.30</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Sản phẩm từ bột nhào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1902.30.20</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Mì, bún làm từ gạo (kể cả bee hoon)</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1902.30.30</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Miến</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1902.30.40</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Mì ăn liền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1902.30.90</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1902.40.00</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Couscous</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1903.00.00</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Sản phẩm từ tinh bột sắn và sản phẩm thay thế chế biến từ tinh bột, ở dạng mảnh, hạt, bột xay, bột rây hay các dạng tương tự.</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1905</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Bánh mì, bánh bột nhào (pastry), bánh nướng, bánh quy và các loại bánh khác, có hoặc không chứa ca cao; bánh thánh, vỏ viên nhộng dùng trong ngành dược, bánh xốp sealing wafers, bánh đa và các sản phẩm tương tự.</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73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1905.10.00</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Bánh mì giòn</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73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1905.20.00</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Bánh mì có gừng và loại tương tự</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73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sản phẩm bánh mứt kẹo khác</w:t>
            </w: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Bánh quy ngọt; bánh waffles và bánh xốp wafers:</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73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1905.31</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Bánh quy ngọt: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73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Bánh quy ngọt, mặn hoặc không ngọt, mặn</w:t>
            </w: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1905.31.10</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Không chứa ca cao</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1905.31.20</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Chứa ca cao</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1905.32</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Bánh waffles và bánh xốp wafers:</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73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sản phẩm bánh mứt kẹo khác</w:t>
            </w: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1905.32.10</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Bánh waffles</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1905.32.20</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Bánh xốp wafers</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1905.40</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Bánh bít cốt (rusks), bánh mì nướng và các loại bánh nướng tương tự:</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73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Bánh bít cốt, bánh mì nướng và các loại bánh nướng tương tự</w:t>
            </w: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1905.40.10</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Chưa thêm đường, mật ong, trứng, chất béo, pho mát hoặc trái cây</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1905.40.90</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1905.90</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73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Bánh quy ngọt, mặn hoặc không ngọt, mặn</w:t>
            </w: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1905.90.10</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Bánh quy không ngọt dùng cho trẻ mọc răng hoặc thay răng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1905.90.20</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Bánh quy không ngọt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1905.90.30</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Bánh ga tô (cakes)</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73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1905.90.40</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Bánh bột nhào (pastry)</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73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1905.90.50</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Các loại bánh không bột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73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Các sản phẩm bánh mứt kẹo khác</w:t>
            </w: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1905.90.70</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Bánh thánh, bánh xốp sealing wafers, bánh đa và các sản phẩm tương tự</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1905.90.80</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Các sản phẩm thực phẩm giòn có hương liệu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1905.90.90</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2007</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Mứt, thạch trái cây, mứt từ quả thuộc chi cam quýt, bột nghiền và bột nhão từ quả hoặc quả hạch (nuts), thu được từ quá trình đun nấu, đã hoặc chưa pha thêm đường hay chất tạo ngọt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73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Mứt, thạch trái cây, bột nghiền và bột nhão từ quả hoặc quả hạch, thu được từ quá trình đun nấu, đã hoặc chưa pha thêm đường hay chất làm ngọt khác hoặc rượu</w:t>
            </w: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2007.10.0</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Chế phẩm đồng nhất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2007.91.0</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Từ quả thuộc chi cam quýt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2007.99</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2007.99.10</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Bột nhão từ quả trừ bột nhão xoài, dứa hoặc dâu tây</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2007.99.20</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Mứt và thạch trái cây</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4925" w:type="pct"/>
          <w:jc w:val="left"/>
          <w:tblCellMar>
            <w:top w:w="0" w:type="dxa"/>
            <w:left w:w="0" w:type="dxa"/>
            <w:bottom w:w="0" w:type="dxa"/>
            <w:right w:w="0" w:type="dxa"/>
          </w:tblCellMar>
        </w:tblPrEx>
        <w:trPr>
          <w:jc w:val="left"/>
        </w:trPr>
        <w:tc>
          <w:tcPr>
            <w:tcW w:w="74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2007.99.90</w:t>
            </w:r>
          </w:p>
        </w:tc>
        <w:tc>
          <w:tcPr>
            <w:tcW w:w="23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bl>
    <w:p>
      <w:pPr>
        <w:bidi w:val="0"/>
        <w:spacing w:before="120" w:beforeAutospacing="0" w:after="280" w:afterAutospacing="1"/>
        <w:jc w:val="center"/>
      </w:pPr>
      <w:r>
        <w:rPr>
          <w:rtl w:val="0"/>
        </w:rPr>
        <w:t> </w:t>
      </w:r>
    </w:p>
    <w:p>
      <w:pPr>
        <w:bidi w:val="0"/>
        <w:spacing w:before="120" w:beforeAutospacing="0" w:after="280" w:afterAutospacing="1"/>
        <w:jc w:val="center"/>
      </w:pPr>
      <w:bookmarkStart w:id="124" w:name="chuong_pl_3"/>
      <w:r>
        <w:rPr>
          <w:b/>
          <w:bCs/>
          <w:sz w:val="24"/>
          <w:rtl w:val="0"/>
        </w:rPr>
        <w:t>PHỤ LỤC 3:</w:t>
      </w:r>
      <w:bookmarkEnd w:id="124"/>
    </w:p>
    <w:p>
      <w:pPr>
        <w:bidi w:val="0"/>
        <w:spacing w:before="120" w:beforeAutospacing="0" w:after="280" w:afterAutospacing="1"/>
        <w:jc w:val="center"/>
      </w:pPr>
      <w:bookmarkStart w:id="125" w:name="chuong_pl_3_name"/>
      <w:r>
        <w:rPr>
          <w:rtl w:val="0"/>
        </w:rPr>
        <w:t>DANH MỤC CÁC MẶT HÀNG KIỂM TRA CHUYÊN NGÀNH VỀ HIỆU SUẤT NĂNG LƯỢNG</w:t>
      </w:r>
      <w:bookmarkEnd w:id="125"/>
      <w:r>
        <w:rPr>
          <w:rtl w:val="0"/>
        </w:rPr>
        <w:br/>
      </w:r>
      <w:r>
        <w:rPr>
          <w:i/>
          <w:iCs/>
          <w:rtl w:val="0"/>
        </w:rPr>
        <w:t>(Ban hành kèm theo Quyết định số 1182/QĐ-BCT ngày 06 tháng 4 năm 2021 của Bộ trưởng Bộ Công Thương)</w:t>
      </w:r>
    </w:p>
    <w:tbl>
      <w:tblPr>
        <w:tblW w:w="5000" w:type="pct"/>
        <w:jc w:val="left"/>
        <w:tblCellMar>
          <w:top w:w="0" w:type="dxa"/>
          <w:left w:w="0" w:type="dxa"/>
          <w:bottom w:w="0" w:type="dxa"/>
          <w:right w:w="0" w:type="dxa"/>
        </w:tblCellMar>
      </w:tblPr>
      <w:tblGrid>
        <w:gridCol w:w="1180"/>
        <w:gridCol w:w="2434"/>
        <w:gridCol w:w="1562"/>
        <w:gridCol w:w="1403"/>
        <w:gridCol w:w="2061"/>
      </w:tblGrid>
      <w:tr>
        <w:tblPrEx>
          <w:tblW w:w="5000" w:type="pct"/>
          <w:jc w:val="left"/>
          <w:tblCellMar>
            <w:top w:w="0" w:type="dxa"/>
            <w:left w:w="0" w:type="dxa"/>
            <w:bottom w:w="0" w:type="dxa"/>
            <w:right w:w="0" w:type="dxa"/>
          </w:tblCellMar>
        </w:tblPrEx>
        <w:trPr>
          <w:jc w:val="left"/>
        </w:trPr>
        <w:tc>
          <w:tcPr>
            <w:tcW w:w="614"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Mã HS</w:t>
            </w:r>
          </w:p>
        </w:tc>
        <w:tc>
          <w:tcPr>
            <w:tcW w:w="143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xml:space="preserve">Tên hàng hóa theo Thông tư </w:t>
            </w:r>
            <w:bookmarkStart w:id="126" w:name="tvpllink_qtxodejolc_6"/>
            <w:r>
              <w:rPr>
                <w:b/>
                <w:bCs/>
                <w:rtl w:val="0"/>
              </w:rPr>
              <w:t>65/2017/TT-BTC</w:t>
            </w:r>
            <w:bookmarkEnd w:id="126"/>
          </w:p>
        </w:tc>
        <w:tc>
          <w:tcPr>
            <w:tcW w:w="91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Mô tả sản phẩm, hàng hóa</w:t>
            </w:r>
          </w:p>
        </w:tc>
        <w:tc>
          <w:tcPr>
            <w:tcW w:w="81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Tiêu chuẩn, quy chuẩn kỹ thuật</w:t>
            </w:r>
          </w:p>
        </w:tc>
        <w:tc>
          <w:tcPr>
            <w:tcW w:w="122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Ghi chú</w:t>
            </w:r>
          </w:p>
        </w:tc>
      </w:tr>
      <w:tr>
        <w:tblPrEx>
          <w:tblW w:w="5000" w:type="pct"/>
          <w:jc w:val="left"/>
          <w:tblCellMar>
            <w:top w:w="0" w:type="dxa"/>
            <w:left w:w="0" w:type="dxa"/>
            <w:bottom w:w="0" w:type="dxa"/>
            <w:right w:w="0" w:type="dxa"/>
          </w:tblCellMar>
        </w:tblPrEx>
        <w:trPr>
          <w:jc w:val="left"/>
        </w:trPr>
        <w:tc>
          <w:tcPr>
            <w:tcW w:w="5000" w:type="pct"/>
            <w:gridSpan w:val="5"/>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i/>
                <w:iCs/>
                <w:rtl w:val="0"/>
              </w:rPr>
              <w:t xml:space="preserve">Các mặt hàng được kiểm tra hiệu suất năng lượng theo Quyết định số </w:t>
            </w:r>
            <w:bookmarkStart w:id="127" w:name="tvpllink_xloyjawthz_1"/>
            <w:r>
              <w:rPr>
                <w:b/>
                <w:bCs/>
                <w:i/>
                <w:iCs/>
                <w:rtl w:val="0"/>
              </w:rPr>
              <w:t>24/2018/QĐ-TTg</w:t>
            </w:r>
            <w:bookmarkEnd w:id="127"/>
            <w:r>
              <w:rPr>
                <w:b/>
                <w:bCs/>
                <w:i/>
                <w:iCs/>
                <w:rtl w:val="0"/>
              </w:rPr>
              <w:t xml:space="preserve"> ngày 18 tháng 05 năm 2018 và Quyết định số </w:t>
            </w:r>
            <w:bookmarkStart w:id="128" w:name="tvpllink_kpdmefyoop_1"/>
            <w:r>
              <w:rPr>
                <w:b/>
                <w:bCs/>
                <w:i/>
                <w:iCs/>
                <w:rtl w:val="0"/>
              </w:rPr>
              <w:t>04/2017/QĐ-TTg</w:t>
            </w:r>
            <w:bookmarkEnd w:id="128"/>
            <w:r>
              <w:rPr>
                <w:b/>
                <w:bCs/>
                <w:i/>
                <w:iCs/>
                <w:rtl w:val="0"/>
              </w:rPr>
              <w:t xml:space="preserve"> ngày 09 tháng 3 năm 2017 của Thủ tướng Chính phủ</w:t>
            </w:r>
          </w:p>
        </w:tc>
      </w:tr>
      <w:tr>
        <w:tblPrEx>
          <w:tblW w:w="5000" w:type="pct"/>
          <w:jc w:val="left"/>
          <w:tblCellMar>
            <w:top w:w="0" w:type="dxa"/>
            <w:left w:w="0" w:type="dxa"/>
            <w:bottom w:w="0" w:type="dxa"/>
            <w:right w:w="0" w:type="dxa"/>
          </w:tblCellMar>
        </w:tblPrEx>
        <w:trPr>
          <w:jc w:val="left"/>
        </w:trPr>
        <w:tc>
          <w:tcPr>
            <w:tcW w:w="614"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8539.31</w:t>
            </w:r>
          </w:p>
        </w:tc>
        <w:tc>
          <w:tcPr>
            <w:tcW w:w="1434"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Bóng đèn huỳnh quang, ca-tốt nóng</w:t>
            </w:r>
          </w:p>
        </w:tc>
        <w:tc>
          <w:tcPr>
            <w:tcW w:w="9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Đèn Huỳnh quang Compact (CFL)</w:t>
            </w:r>
          </w:p>
        </w:tc>
        <w:tc>
          <w:tcPr>
            <w:tcW w:w="8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129" w:name="tvpllink_ttixpodnms"/>
            <w:r>
              <w:rPr>
                <w:rtl w:val="0"/>
              </w:rPr>
              <w:t>TCVN 7896:2015</w:t>
            </w:r>
            <w:bookmarkEnd w:id="129"/>
          </w:p>
        </w:tc>
        <w:tc>
          <w:tcPr>
            <w:tcW w:w="12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Chỉ áp dụng loại công suất từ 5 W đến 60 W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9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Đèn huỳnh quang ống thẳng (FL)</w:t>
            </w:r>
          </w:p>
        </w:tc>
        <w:tc>
          <w:tcPr>
            <w:tcW w:w="8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130" w:name="tvpllink_nosfnnrbhu"/>
            <w:r>
              <w:rPr>
                <w:rtl w:val="0"/>
              </w:rPr>
              <w:t>TCVN 8249:2013</w:t>
            </w:r>
            <w:bookmarkEnd w:id="130"/>
          </w:p>
        </w:tc>
        <w:tc>
          <w:tcPr>
            <w:tcW w:w="12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Chỉ áp dụng loại công suất từ 14 W đến 65 W</w:t>
            </w: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8539.31.10</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Ống huỳnh quang dùng cho đèn huỳnh quang com-pắc</w:t>
            </w:r>
          </w:p>
        </w:tc>
        <w:tc>
          <w:tcPr>
            <w:tcW w:w="9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8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12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8539.31.20</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 dạng ống thẳng dùng cho đèn huỳnh quang khác</w:t>
            </w:r>
          </w:p>
        </w:tc>
        <w:tc>
          <w:tcPr>
            <w:tcW w:w="9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8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12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8539.31.30</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 - - Bóng đèn huỳnh quang com-pắc đã có chấn lưu lắp liền </w:t>
            </w:r>
          </w:p>
        </w:tc>
        <w:tc>
          <w:tcPr>
            <w:tcW w:w="9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8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12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8539.31.90</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c>
          <w:tcPr>
            <w:tcW w:w="9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8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c>
          <w:tcPr>
            <w:tcW w:w="12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8504.10.00</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Chấn lưu dùng cho đèn phóng hoặc ống phóng</w:t>
            </w:r>
          </w:p>
        </w:tc>
        <w:tc>
          <w:tcPr>
            <w:tcW w:w="9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Chấn lưu điện từ cho đèn huỳnh quang</w:t>
            </w:r>
          </w:p>
        </w:tc>
        <w:tc>
          <w:tcPr>
            <w:tcW w:w="8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131" w:name="tvpllink_hlzjhjlvta"/>
            <w:r>
              <w:rPr>
                <w:rtl w:val="0"/>
              </w:rPr>
              <w:t>TCVN 8248:2013</w:t>
            </w:r>
            <w:bookmarkEnd w:id="131"/>
          </w:p>
        </w:tc>
        <w:tc>
          <w:tcPr>
            <w:tcW w:w="122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Chỉ áp dụng công suất từ 4W đến 65W</w:t>
            </w: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8504.10.00</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Chấn lưu dùng cho đèn phóng hoặc ống phóng</w:t>
            </w:r>
          </w:p>
        </w:tc>
        <w:tc>
          <w:tcPr>
            <w:tcW w:w="9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Chấn lưu điện tử cho đèn huỳnh quang</w:t>
            </w:r>
          </w:p>
        </w:tc>
        <w:tc>
          <w:tcPr>
            <w:tcW w:w="8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132" w:name="tvpllink_miszdgigby"/>
            <w:r>
              <w:rPr>
                <w:rtl w:val="0"/>
              </w:rPr>
              <w:t>TCVN 7897:2013</w:t>
            </w:r>
            <w:bookmarkEnd w:id="132"/>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8418.10</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 Tủ kết đông lạnh liên hợp (dạng thiết bị có buồng làm đá và làm lạnh riêng biệt), có các cửa mở riêng biệt: </w:t>
            </w:r>
          </w:p>
        </w:tc>
        <w:tc>
          <w:tcPr>
            <w:tcW w:w="915"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Tủ lạnh, Tủ kết đông lạnh</w:t>
            </w:r>
          </w:p>
        </w:tc>
        <w:tc>
          <w:tcPr>
            <w:tcW w:w="81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bookmarkStart w:id="133" w:name="tvpllink_ibswdlmixw"/>
            <w:r>
              <w:rPr>
                <w:rtl w:val="0"/>
              </w:rPr>
              <w:t>TCVN 7828:2016</w:t>
            </w:r>
            <w:bookmarkEnd w:id="133"/>
          </w:p>
        </w:tc>
        <w:tc>
          <w:tcPr>
            <w:tcW w:w="122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Chỉ áp dụng đến loại 1000L. Làm lạnh đối lưu tự nhiên hoặc không khí cưỡng bức. Không áp dụng làm lạnh bằng phương pháp hấp thụ, Tủ thương mại, thiết bị làm lạnh chuyên dụng</w:t>
            </w: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sử dụng trong gia đình:</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8418.10.11</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Dung tích không quá 230 lít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8418.10.19</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8418.10.20</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 dung tích không quá 350 lít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8418.10.90</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8418.30</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Tủ kết đông (1), loại cửa trên, dung tích không quá 800 lít: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8418.30.10</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Dung tích không quá 200 lít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8418.30.90</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8418.40</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Tủ kết đông, loại cửa trước, dung tích không quá 900 lít: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8418.40.10</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Dung tích không quá 200 lít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8418.40.90</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8516.60.10</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Nồi Nấu cơm</w:t>
            </w:r>
          </w:p>
        </w:tc>
        <w:tc>
          <w:tcPr>
            <w:tcW w:w="915"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Nồi cơm điện</w:t>
            </w:r>
          </w:p>
        </w:tc>
        <w:tc>
          <w:tcPr>
            <w:tcW w:w="81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134" w:name="tvpllink_snjajdnuqp"/>
            <w:r>
              <w:rPr>
                <w:rtl w:val="0"/>
              </w:rPr>
              <w:t>TCVN 8252:2015</w:t>
            </w:r>
            <w:bookmarkEnd w:id="134"/>
          </w:p>
        </w:tc>
        <w:tc>
          <w:tcPr>
            <w:tcW w:w="122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Chỉ áp dụng với loại đến 1000W</w:t>
            </w: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8516.60.90</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8414.51</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Quạt bàn, quạt sàn, quạt tường, quạt cửa sổ, quạt trần hoặc quạt mái, có động cơ điện gắn liền với công suất không quá 125 W</w:t>
            </w:r>
          </w:p>
        </w:tc>
        <w:tc>
          <w:tcPr>
            <w:tcW w:w="915"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Quạt điện</w:t>
            </w:r>
          </w:p>
        </w:tc>
        <w:tc>
          <w:tcPr>
            <w:tcW w:w="81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135" w:name="tvpllink_utlipmufwi"/>
            <w:r>
              <w:rPr>
                <w:rtl w:val="0"/>
              </w:rPr>
              <w:t>TCVN 7826:2015</w:t>
            </w:r>
            <w:bookmarkEnd w:id="135"/>
          </w:p>
        </w:tc>
        <w:tc>
          <w:tcPr>
            <w:tcW w:w="122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8414.51.10</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Quạt bàn và quạt dạng hộp</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8414.51.91</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Có lưới bảo vệ</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8414.51.99</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8528.72.92</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Loại màn hình tinh thể lỏng (LCD), đi-ốt phát quang (LED) và màn hình dẹt khác</w:t>
            </w:r>
          </w:p>
        </w:tc>
        <w:tc>
          <w:tcPr>
            <w:tcW w:w="915"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Máy thu hình</w:t>
            </w:r>
          </w:p>
        </w:tc>
        <w:tc>
          <w:tcPr>
            <w:tcW w:w="81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136" w:name="tvpllink_brscseamst"/>
            <w:r>
              <w:rPr>
                <w:rtl w:val="0"/>
              </w:rPr>
              <w:t>TCVN 9536:2012</w:t>
            </w:r>
            <w:bookmarkEnd w:id="136"/>
          </w:p>
        </w:tc>
        <w:tc>
          <w:tcPr>
            <w:tcW w:w="122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8528.72.99</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Dụng cụ điện đun nước nóng tức thời hoặc đun nước nóng có dự trữ và đun nước nóng kiểu nhúng</w:t>
            </w:r>
          </w:p>
        </w:tc>
        <w:tc>
          <w:tcPr>
            <w:tcW w:w="915"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Bình đun nước nóng có dự trữ</w:t>
            </w:r>
          </w:p>
        </w:tc>
        <w:tc>
          <w:tcPr>
            <w:tcW w:w="81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137" w:name="tvpllink_ldzjvdtamr"/>
            <w:r>
              <w:rPr>
                <w:rtl w:val="0"/>
              </w:rPr>
              <w:t>TCVN 7898:2009</w:t>
            </w:r>
            <w:bookmarkEnd w:id="137"/>
          </w:p>
        </w:tc>
        <w:tc>
          <w:tcPr>
            <w:tcW w:w="122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Fonts w:ascii="Wingdings" w:eastAsia="Wingdings" w:hAnsi="Wingdings" w:cs="Wingdings"/>
                <w:rtl w:val="0"/>
              </w:rPr>
              <w:t></w:t>
            </w:r>
            <w:r>
              <w:rPr>
                <w:rtl w:val="0"/>
              </w:rPr>
              <w:t xml:space="preserve"> Bình đun nước nóng bằng điện có dự trữ dùng trong gia đình và các mục đích tương tự có dung tích đến 40 lít</w:t>
            </w:r>
          </w:p>
          <w:p>
            <w:pPr>
              <w:bidi w:val="0"/>
              <w:spacing w:before="120" w:beforeAutospacing="0" w:after="0" w:afterAutospacing="0"/>
              <w:rPr>
                <w:rtl w:val="0"/>
              </w:rPr>
            </w:pPr>
            <w:r>
              <w:rPr>
                <w:rFonts w:ascii="Wingdings" w:eastAsia="Wingdings" w:hAnsi="Wingdings" w:cs="Wingdings"/>
                <w:rtl w:val="0"/>
              </w:rPr>
              <w:t></w:t>
            </w:r>
            <w:r>
              <w:rPr>
                <w:rtl w:val="0"/>
              </w:rPr>
              <w:t xml:space="preserve"> Tiêu chuẩn này không áp dụng cho các dụng cụ đun nước nóng để uống.</w:t>
            </w: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8516.10</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đun nước nóng tức thời hoặc đun nước nóng có dự trữ:</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8516.10.19</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8516.10.30</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đun nước nóng kiểu nhúng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84.15.10.10</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Công suất làm mát ko quá 26,38kW</w:t>
            </w:r>
          </w:p>
        </w:tc>
        <w:tc>
          <w:tcPr>
            <w:tcW w:w="9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Máy Điều hòa không khí</w:t>
            </w:r>
          </w:p>
        </w:tc>
        <w:tc>
          <w:tcPr>
            <w:tcW w:w="8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138" w:name="tvpllink_tmrtuenmon"/>
            <w:r>
              <w:rPr>
                <w:rtl w:val="0"/>
              </w:rPr>
              <w:t>TCVN 7830:2015</w:t>
            </w:r>
            <w:bookmarkEnd w:id="138"/>
          </w:p>
        </w:tc>
        <w:tc>
          <w:tcPr>
            <w:tcW w:w="12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Chỉ áp dụng loại không nối ông gió công suất đến 12kW</w:t>
            </w: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8450.20.00</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Máy giặt, có sức chứa trên 10 kg vải khô một lần giặt</w:t>
            </w:r>
          </w:p>
        </w:tc>
        <w:tc>
          <w:tcPr>
            <w:tcW w:w="915"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Máy giặt gia dụng</w:t>
            </w:r>
          </w:p>
        </w:tc>
        <w:tc>
          <w:tcPr>
            <w:tcW w:w="81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139" w:name="tvpllink_lxaahouplx"/>
            <w:r>
              <w:rPr>
                <w:rtl w:val="0"/>
              </w:rPr>
              <w:t>TCVN 8526:2013</w:t>
            </w:r>
            <w:bookmarkEnd w:id="139"/>
          </w:p>
        </w:tc>
        <w:tc>
          <w:tcPr>
            <w:tcW w:w="122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Chỉ áp dụng đối với loại có sức chứa từ 2kg đến 15kg vải khô một lần giặt</w:t>
            </w: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8450.19.91</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 - - - Loại có sức chứa không quá 6 kg vải khô một lần giặt </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8450.11.10</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có sức chứa không quá 6 kg vải khô một lần giặt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Máy giặt gia đình hoặc trong hiệu giặt, kể cả máy giặt có chức năng sấy khô.</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Máy giặt, có sức chứa không quá 10 kg vải khô một lần giặt: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8450.19</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8450.19.11</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Loại có sức chứa không quá 6 kg vải khô một lần giặt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8450.19.19</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8450.19.91</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 - - - Loại có sức chứa không quá 6 kg vải khô một lần giặt </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8450.19.99</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 - - - Loại khác </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8539.50.00</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Đèn đi-ốt phát quang (LED)</w:t>
            </w:r>
          </w:p>
        </w:tc>
        <w:tc>
          <w:tcPr>
            <w:tcW w:w="9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Đèn LED</w:t>
            </w:r>
          </w:p>
        </w:tc>
        <w:tc>
          <w:tcPr>
            <w:tcW w:w="8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140" w:name="tvpllink_zfnoqrqwrl"/>
            <w:r>
              <w:rPr>
                <w:rtl w:val="0"/>
              </w:rPr>
              <w:t>TCVN 11844:2017</w:t>
            </w:r>
            <w:bookmarkEnd w:id="140"/>
          </w:p>
        </w:tc>
        <w:tc>
          <w:tcPr>
            <w:tcW w:w="12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Chỉ áp dụng đối với đèn có balat lắp liền đầu đèn E27 và B22, Bóng đèn dạng ống đầu đèn G5 và G13 công suất đến 60W điện áp không quá 250V</w:t>
            </w: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8443.39.10</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Máy photocopy tĩnh điện, hoạt động bằng cách tái tạo hình ảnh gốc trực tiếp lên bản sao (quá trình tái tạo trực tiếp)</w:t>
            </w:r>
          </w:p>
        </w:tc>
        <w:tc>
          <w:tcPr>
            <w:tcW w:w="915"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Máy photocopy</w:t>
            </w:r>
          </w:p>
        </w:tc>
        <w:tc>
          <w:tcPr>
            <w:tcW w:w="81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141" w:name="tvpllink_dfkujjykzn"/>
            <w:r>
              <w:rPr>
                <w:rtl w:val="0"/>
              </w:rPr>
              <w:t>TCVN 9510:2012</w:t>
            </w:r>
            <w:bookmarkEnd w:id="141"/>
          </w:p>
        </w:tc>
        <w:tc>
          <w:tcPr>
            <w:tcW w:w="122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8443.39.30</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Máy photocopy khác kết hợp hệ thống quang học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8443.31</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Máy kết hợp hai hoặc nhiều chức năng in, copy hoặc fax, có khả năng kết nối với máy xử lý dữ liệu tự động hoặc kết nối mạng:</w:t>
            </w:r>
          </w:p>
        </w:tc>
        <w:tc>
          <w:tcPr>
            <w:tcW w:w="915"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Máy in</w:t>
            </w:r>
          </w:p>
        </w:tc>
        <w:tc>
          <w:tcPr>
            <w:tcW w:w="81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142" w:name="tvpllink_rchdddcirj"/>
            <w:r>
              <w:rPr>
                <w:rtl w:val="0"/>
              </w:rPr>
              <w:t>TCVN 9509:2012</w:t>
            </w:r>
            <w:bookmarkEnd w:id="142"/>
          </w:p>
        </w:tc>
        <w:tc>
          <w:tcPr>
            <w:tcW w:w="122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Máy in-copy, in bằng công nghệ in phun:</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8443.31.11</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Loại màu</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8443.31.19</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Máy in-copy, in bằng công nghệ laser:</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8443.31.21</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Loại màu</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8443.31.29</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Máy in-copy-fax kết hợp:</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8443.31.31</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Loại màu</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8443.31.39</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8443.31.91</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Máy in-copy-scan-fax kết hợp</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8443.31.99</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8528.72.92</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Loại màn hình tinh thể lỏng (LCD), đi-ốt phát quang (LED) và màn hình dẹt khác</w:t>
            </w:r>
          </w:p>
        </w:tc>
        <w:tc>
          <w:tcPr>
            <w:tcW w:w="9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Màn hình máy tính</w:t>
            </w:r>
          </w:p>
        </w:tc>
        <w:tc>
          <w:tcPr>
            <w:tcW w:w="8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143" w:name="tvpllink_mjbnzcjbem"/>
            <w:r>
              <w:rPr>
                <w:rtl w:val="0"/>
              </w:rPr>
              <w:t>TCVN 9508:2012</w:t>
            </w:r>
            <w:bookmarkEnd w:id="143"/>
          </w:p>
        </w:tc>
        <w:tc>
          <w:tcPr>
            <w:tcW w:w="12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Áp dụng đối với loại đến 24 inch</w:t>
            </w:r>
          </w:p>
          <w:p>
            <w:pPr>
              <w:bidi w:val="0"/>
              <w:spacing w:before="120" w:beforeAutospacing="0" w:after="0" w:afterAutospacing="0"/>
              <w:rPr>
                <w:rtl w:val="0"/>
              </w:rPr>
            </w:pPr>
            <w:r>
              <w:rPr>
                <w:rtl w:val="0"/>
              </w:rPr>
              <w:t>Loại trừ các loại màn hình dùng trong y tế, chuyên dụng trong công nghiệp</w:t>
            </w: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8471.30.20</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Máy tính xách tay kể cả notebook và subnotebook</w:t>
            </w:r>
          </w:p>
        </w:tc>
        <w:tc>
          <w:tcPr>
            <w:tcW w:w="9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Máy tính xách tay</w:t>
            </w:r>
          </w:p>
        </w:tc>
        <w:tc>
          <w:tcPr>
            <w:tcW w:w="8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144" w:name="tvpllink_ihztnumuie"/>
            <w:r>
              <w:rPr>
                <w:rtl w:val="0"/>
              </w:rPr>
              <w:t>TCVN 11848:2017</w:t>
            </w:r>
            <w:bookmarkEnd w:id="144"/>
            <w:r>
              <w:rPr>
                <w:rtl w:val="0"/>
              </w:rPr>
              <w:t xml:space="preserve"> </w:t>
            </w:r>
          </w:p>
        </w:tc>
        <w:tc>
          <w:tcPr>
            <w:tcW w:w="12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8501.52</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Công suất trên 750W nhỏ hơn 75kW</w:t>
            </w:r>
          </w:p>
        </w:tc>
        <w:tc>
          <w:tcPr>
            <w:tcW w:w="915"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Động cơ điện</w:t>
            </w:r>
          </w:p>
        </w:tc>
        <w:tc>
          <w:tcPr>
            <w:tcW w:w="81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TCVN 7450-1:2013</w:t>
            </w:r>
          </w:p>
        </w:tc>
        <w:tc>
          <w:tcPr>
            <w:tcW w:w="122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 xml:space="preserve">Áp dụng đối với động cơ điện không đồng bộ 3 pha rotor lồng sóc công suất từ 0,75W đến 150kW, điện áp danh định đến 1000V; có 2,4 hoặc 6 cực; vận hành ở chế độ S1; </w:t>
            </w:r>
            <w:r>
              <w:rPr>
                <w:b/>
                <w:bCs/>
                <w:i/>
                <w:iCs/>
                <w:rtl w:val="0"/>
              </w:rPr>
              <w:t>Loại trừ các trường hợp:</w:t>
            </w:r>
          </w:p>
          <w:p>
            <w:pPr>
              <w:bidi w:val="0"/>
              <w:spacing w:before="120" w:beforeAutospacing="0" w:after="280" w:afterAutospacing="1"/>
              <w:rPr>
                <w:rtl w:val="0"/>
              </w:rPr>
            </w:pPr>
            <w:r>
              <w:rPr>
                <w:rFonts w:ascii="Wingdings" w:eastAsia="Wingdings" w:hAnsi="Wingdings" w:cs="Wingdings"/>
                <w:rtl w:val="0"/>
              </w:rPr>
              <w:t></w:t>
            </w:r>
            <w:r>
              <w:rPr>
                <w:rtl w:val="0"/>
              </w:rPr>
              <w:t xml:space="preserve"> Có hộp số lắp liền không thể tháo rời mà không bị hỏng động cơ;</w:t>
            </w:r>
          </w:p>
          <w:p>
            <w:pPr>
              <w:bidi w:val="0"/>
              <w:spacing w:before="120" w:beforeAutospacing="0" w:after="280" w:afterAutospacing="1"/>
              <w:rPr>
                <w:rtl w:val="0"/>
              </w:rPr>
            </w:pPr>
            <w:r>
              <w:rPr>
                <w:rFonts w:ascii="Wingdings" w:eastAsia="Wingdings" w:hAnsi="Wingdings" w:cs="Wingdings"/>
                <w:rtl w:val="0"/>
              </w:rPr>
              <w:t></w:t>
            </w:r>
            <w:r>
              <w:rPr>
                <w:rtl w:val="0"/>
              </w:rPr>
              <w:t xml:space="preserve"> Động cơ tích hợp hoàn toàn</w:t>
            </w:r>
          </w:p>
          <w:p>
            <w:pPr>
              <w:bidi w:val="0"/>
              <w:spacing w:before="120" w:beforeAutospacing="0" w:after="280" w:afterAutospacing="1"/>
              <w:rPr>
                <w:rtl w:val="0"/>
              </w:rPr>
            </w:pPr>
            <w:r>
              <w:rPr>
                <w:rFonts w:ascii="Wingdings" w:eastAsia="Wingdings" w:hAnsi="Wingdings" w:cs="Wingdings"/>
                <w:rtl w:val="0"/>
              </w:rPr>
              <w:t></w:t>
            </w:r>
            <w:r>
              <w:rPr>
                <w:rtl w:val="0"/>
              </w:rPr>
              <w:t xml:space="preserve"> Động cơ vận hành trong một trường khí nổ</w:t>
            </w:r>
          </w:p>
          <w:p>
            <w:pPr>
              <w:bidi w:val="0"/>
              <w:spacing w:before="120" w:beforeAutospacing="0" w:after="0" w:afterAutospacing="0"/>
              <w:rPr>
                <w:rtl w:val="0"/>
              </w:rPr>
            </w:pPr>
            <w:r>
              <w:rPr>
                <w:rFonts w:ascii="Wingdings" w:eastAsia="Wingdings" w:hAnsi="Wingdings" w:cs="Wingdings"/>
                <w:rtl w:val="0"/>
              </w:rPr>
              <w:t></w:t>
            </w:r>
            <w:r>
              <w:rPr>
                <w:rtl w:val="0"/>
              </w:rPr>
              <w:t xml:space="preserve"> Động cơ thiết kế riêng cho môi trường, đặc tính đặc biệt</w:t>
            </w: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Công suất không quá 1 kW:</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8501.52.11</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Dùng cho các mặt hàng thuộc nhóm 84.15, 84.18, 84.50, 85.09 hoặc 85.16</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8501.52.19</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Công suất trên 1 kW nhưng không quá 37,5 kW:</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8501.52.21</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Dùng cho các mặt hàng thuộc nhóm 84.15, 84.18, 84.50, 85.09 hoặc 85.16</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8501.52.29</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Công suất trên 37,5 kW nhưng không quá 75 kW:</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8501.52.31</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Dùng cho các mặt hàng thuộc nhóm 84.15, 84.18, 84.50, 85.09 hoặc 85.16</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8501.52.39</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8501.53.00</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Công suất trên 75 kW</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8402.11.20</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Không hoạt động bằng điện</w:t>
            </w:r>
          </w:p>
        </w:tc>
        <w:tc>
          <w:tcPr>
            <w:tcW w:w="915"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Nồi hơi</w:t>
            </w:r>
          </w:p>
        </w:tc>
        <w:tc>
          <w:tcPr>
            <w:tcW w:w="81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145" w:name="tvpllink_jfpppslwxj"/>
            <w:r>
              <w:rPr>
                <w:rtl w:val="0"/>
              </w:rPr>
              <w:t>TCVN 8630:2010</w:t>
            </w:r>
            <w:bookmarkEnd w:id="145"/>
          </w:p>
        </w:tc>
        <w:tc>
          <w:tcPr>
            <w:tcW w:w="122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8402.12.21</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Nồi hơi với công suất hơi nước trên 15 tấn/giờ</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8402.12.29</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8402.19.21</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Nồi hơi với công suất hơi nước trên 15 tấn/giờ</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8402.19.29</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8402.20.20</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Không hoạt động bằng điện</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8504.21</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Có Công suất không quá 650kVA</w:t>
            </w:r>
          </w:p>
        </w:tc>
        <w:tc>
          <w:tcPr>
            <w:tcW w:w="915"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Máy biến áp</w:t>
            </w:r>
          </w:p>
        </w:tc>
        <w:tc>
          <w:tcPr>
            <w:tcW w:w="81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146" w:name="tvpllink_qgpugrsaek"/>
            <w:r>
              <w:rPr>
                <w:rtl w:val="0"/>
              </w:rPr>
              <w:t>TCVN 8525:2010</w:t>
            </w:r>
            <w:bookmarkEnd w:id="146"/>
          </w:p>
        </w:tc>
        <w:tc>
          <w:tcPr>
            <w:tcW w:w="122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Máy biến áp phân phối 3 pha công suất danh định từ 25 kVA đến 2.500 kVA</w:t>
            </w: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8504.21.19</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 - - - Loại khác </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8504.21.92</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 - - - Có công suất danh định trên 10 kVA và đầu điện áp cao từ 110kV trở lên </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8504.21.93</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 - - - Có công suất danh định trên 10 kVA và đầu điện áp cao từ 66 kV trở lên, nhưng dưới 110 kV </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8504.21.99</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8504.22</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Công suất trên 650kVA nhỏ hơn 10.000kVA</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Máy ổn áp từng nấc (biến áp tự ngẫu):</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8504.22.11</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 - - - Đầu điện áp cao từ 66 kV trở lên </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8504.22.19</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 - - - Loại khác </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8504.22.92</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 - - - Đầu điện áp cao từ 110kV trở lên </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8504.22.93</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Đầu điện áp cao từ 66kV trở lên, nhưng dưới 110kV</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6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8504.22.99</w:t>
            </w:r>
          </w:p>
        </w:tc>
        <w:tc>
          <w:tcPr>
            <w:tcW w:w="1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bl>
    <w:p>
      <w:pPr>
        <w:bidi w:val="0"/>
        <w:spacing w:after="280" w:afterAutospacing="1"/>
      </w:pPr>
      <w:r>
        <w:rPr>
          <w:rtl w:val="0"/>
        </w:rPr>
        <w:t> </w:t>
      </w:r>
    </w:p>
    <w:p>
      <w:pPr>
        <w:bidi w:val="0"/>
        <w:spacing w:after="280" w:afterAutospacing="1"/>
      </w:pPr>
    </w:p>
    <w:p>
      <w:pPr>
        <w:bidi w:val="0"/>
        <w:rPr>
          <w:rFonts w:ascii="Times New Roman" w:eastAsia="Times New Roman" w:hAnsi="Times New Roman" w:cs="Times New Roman"/>
          <w:sz w:val="24"/>
          <w:rtl w:val="0"/>
        </w:rPr>
      </w:pPr>
      <w:r>
        <w:pict>
          <v:rect id="_x0000_i1025" style="height:0.75pt;width:142.56pt" o:hrpct="330" o:hrstd="t" o:hr="t" filled="t" fillcolor="gray" stroked="f"/>
        </w:pict>
      </w:r>
    </w:p>
    <w:p>
      <w:pPr>
        <w:bidi w:val="0"/>
        <w:spacing w:before="120" w:beforeAutospacing="0" w:after="280" w:afterAutospacing="1"/>
        <w:rPr>
          <w:rtl w:val="0"/>
        </w:rPr>
      </w:pPr>
      <w:r>
        <w:rPr>
          <w:rtl w:val="0"/>
        </w:rPr>
        <w:fldChar w:fldCharType="begin"/>
      </w:r>
      <w:r>
        <w:rPr>
          <w:rtl w:val="0"/>
        </w:rPr>
        <w:instrText xml:space="preserve"> HYPERLINK \l "_ftnref1" </w:instrText>
      </w:r>
      <w:r>
        <w:rPr>
          <w:rtl w:val="0"/>
        </w:rPr>
        <w:fldChar w:fldCharType="separate"/>
      </w:r>
      <w:r>
        <w:rPr>
          <w:color w:val="0000FF"/>
          <w:u w:val="single"/>
          <w:rtl w:val="0"/>
        </w:rPr>
        <w:t>1</w:t>
      </w:r>
      <w:r>
        <w:rPr>
          <w:rtl w:val="0"/>
        </w:rPr>
        <w:fldChar w:fldCharType="end"/>
      </w:r>
      <w:r>
        <w:rPr>
          <w:rtl w:val="0"/>
        </w:rPr>
        <w:t xml:space="preserve"> Thông tư số 13/2018/TT-BCT ngày 15 tháng 6 năm 2018 của Bộ trưởng Bộ Công Thương quy định về quản lý, sử dụng vật liệu nổ công nghiệp được sửa đổi, bổ sung bởi Thông tư số 31/2020/TT-BCT ngày 30 tháng 11 năm 2020, có hiệu lực từ ngày 15 tháng 01 năm 2021.</w:t>
      </w:r>
    </w:p>
    <w:p>
      <w:pPr>
        <w:bidi w:val="0"/>
        <w:spacing w:before="120" w:beforeAutospacing="0" w:after="280" w:afterAutospacing="1"/>
        <w:rPr>
          <w:rtl w:val="0"/>
        </w:rPr>
      </w:pPr>
      <w:r>
        <w:rPr>
          <w:rtl w:val="0"/>
        </w:rPr>
        <w:fldChar w:fldCharType="begin"/>
      </w:r>
      <w:r>
        <w:rPr>
          <w:rtl w:val="0"/>
        </w:rPr>
        <w:instrText xml:space="preserve"> HYPERLINK \l "_ftnref2" </w:instrText>
      </w:r>
      <w:r>
        <w:rPr>
          <w:rtl w:val="0"/>
        </w:rPr>
        <w:fldChar w:fldCharType="separate"/>
      </w:r>
      <w:r>
        <w:rPr>
          <w:color w:val="0000FF"/>
          <w:u w:val="single"/>
          <w:rtl w:val="0"/>
        </w:rPr>
        <w:t>2</w:t>
      </w:r>
      <w:r>
        <w:rPr>
          <w:rtl w:val="0"/>
        </w:rPr>
        <w:fldChar w:fldCharType="end"/>
      </w:r>
      <w:r>
        <w:rPr>
          <w:rtl w:val="0"/>
        </w:rPr>
        <w:t xml:space="preserve"> Bộ trưởng Bộ Công Thương đã ban hành QCVN 02:2020/BCT về an toàn bồn chứa khí dầu mỏ hóa lỏng kèm theo Thông tư số 32/2020/TT-BCT ngày 30 tháng 11 năm 2020.</w:t>
      </w:r>
    </w:p>
    <w:p>
      <w:pPr>
        <w:bidi w:val="0"/>
        <w:spacing w:before="120" w:beforeAutospacing="0" w:after="280" w:afterAutospacing="1"/>
        <w:rPr>
          <w:rtl w:val="0"/>
        </w:rPr>
      </w:pPr>
      <w:r>
        <w:rPr>
          <w:rtl w:val="0"/>
        </w:rPr>
        <w:fldChar w:fldCharType="begin"/>
      </w:r>
      <w:r>
        <w:rPr>
          <w:rtl w:val="0"/>
        </w:rPr>
        <w:instrText xml:space="preserve"> HYPERLINK \l "_ftnref3" </w:instrText>
      </w:r>
      <w:r>
        <w:rPr>
          <w:rtl w:val="0"/>
        </w:rPr>
        <w:fldChar w:fldCharType="separate"/>
      </w:r>
      <w:r>
        <w:rPr>
          <w:color w:val="0000FF"/>
          <w:u w:val="single"/>
          <w:rtl w:val="0"/>
        </w:rPr>
        <w:t>3</w:t>
      </w:r>
      <w:r>
        <w:rPr>
          <w:rtl w:val="0"/>
        </w:rPr>
        <w:fldChar w:fldCharType="end"/>
      </w:r>
      <w:r>
        <w:rPr>
          <w:rtl w:val="0"/>
        </w:rPr>
        <w:t xml:space="preserve"> QCVN 02:2016/BCT về an toàn tời trục mỏ được sửa đổi tại Sửa đổi 1:2019 QCVN 02:2016/BCT ban hành kèm theo Thông tư số 14/2019/TT-BCT ngày 14 tháng 8 năm 2019 của Bộ trưởng Bộ Công Thương.</w:t>
      </w:r>
    </w:p>
    <w:p>
      <w:pPr>
        <w:bidi w:val="0"/>
        <w:spacing w:before="120" w:beforeAutospacing="0" w:after="280" w:afterAutospacing="1"/>
        <w:rPr>
          <w:rtl w:val="0"/>
        </w:rPr>
      </w:pPr>
      <w:r>
        <w:rPr>
          <w:rtl w:val="0"/>
        </w:rPr>
        <w:fldChar w:fldCharType="begin"/>
      </w:r>
      <w:r>
        <w:rPr>
          <w:rtl w:val="0"/>
        </w:rPr>
        <w:instrText xml:space="preserve"> HYPERLINK \l "_ftnref4" </w:instrText>
      </w:r>
      <w:r>
        <w:rPr>
          <w:rtl w:val="0"/>
        </w:rPr>
        <w:fldChar w:fldCharType="separate"/>
      </w:r>
      <w:r>
        <w:rPr>
          <w:color w:val="0000FF"/>
          <w:u w:val="single"/>
          <w:rtl w:val="0"/>
        </w:rPr>
        <w:t>4</w:t>
      </w:r>
      <w:r>
        <w:rPr>
          <w:rtl w:val="0"/>
        </w:rPr>
        <w:fldChar w:fldCharType="end"/>
      </w:r>
      <w:r>
        <w:rPr>
          <w:rtl w:val="0"/>
        </w:rPr>
        <w:t xml:space="preserve"> Bộ trưởng Bộ Công Thương đã ban hành QCVN 02:2019/BCT về an toàn trạm nạp khí dầu mỏ hóa lỏng kèm theo Thông tư số 35/2019/TT-BCT ngày 29 tháng 11 năm 2019.</w:t>
      </w:r>
    </w:p>
    <w:p>
      <w:pPr>
        <w:bidi w:val="0"/>
        <w:spacing w:before="120" w:beforeAutospacing="0" w:after="280" w:afterAutospacing="1"/>
        <w:rPr>
          <w:rtl w:val="0"/>
        </w:rPr>
      </w:pPr>
      <w:r>
        <w:rPr>
          <w:rtl w:val="0"/>
        </w:rPr>
        <w:fldChar w:fldCharType="begin"/>
      </w:r>
      <w:r>
        <w:rPr>
          <w:rtl w:val="0"/>
        </w:rPr>
        <w:instrText xml:space="preserve"> HYPERLINK \l "_ftnref5" </w:instrText>
      </w:r>
      <w:r>
        <w:rPr>
          <w:rtl w:val="0"/>
        </w:rPr>
        <w:fldChar w:fldCharType="separate"/>
      </w:r>
      <w:r>
        <w:rPr>
          <w:color w:val="0000FF"/>
          <w:u w:val="single"/>
          <w:rtl w:val="0"/>
        </w:rPr>
        <w:t>5</w:t>
      </w:r>
      <w:r>
        <w:rPr>
          <w:rtl w:val="0"/>
        </w:rPr>
        <w:fldChar w:fldCharType="end"/>
      </w:r>
      <w:r>
        <w:rPr>
          <w:rtl w:val="0"/>
        </w:rPr>
        <w:t xml:space="preserve"> Bộ trưởng Bộ Công Thương đã ban hành QCVN số 07:2020/BCT về an toàn đối với Máy phát điện phòng nổ sử dụng trong mỏ hầm lò kèm theo Thông tư số 38/2020/TT-BCT ngày 30 tháng 11 năm 2020.</w:t>
      </w:r>
    </w:p>
    <w:p>
      <w:pPr>
        <w:bidi w:val="0"/>
        <w:spacing w:before="120" w:beforeAutospacing="0" w:after="280" w:afterAutospacing="1"/>
        <w:rPr>
          <w:rtl w:val="0"/>
        </w:rPr>
      </w:pPr>
      <w:r>
        <w:rPr>
          <w:rtl w:val="0"/>
        </w:rPr>
        <w:fldChar w:fldCharType="begin"/>
      </w:r>
      <w:r>
        <w:rPr>
          <w:rtl w:val="0"/>
        </w:rPr>
        <w:instrText xml:space="preserve"> HYPERLINK \l "_ftnref6" </w:instrText>
      </w:r>
      <w:r>
        <w:rPr>
          <w:rtl w:val="0"/>
        </w:rPr>
        <w:fldChar w:fldCharType="separate"/>
      </w:r>
      <w:r>
        <w:rPr>
          <w:color w:val="0000FF"/>
          <w:u w:val="single"/>
          <w:rtl w:val="0"/>
        </w:rPr>
        <w:t>6</w:t>
      </w:r>
      <w:r>
        <w:rPr>
          <w:rtl w:val="0"/>
        </w:rPr>
        <w:fldChar w:fldCharType="end"/>
      </w:r>
      <w:r>
        <w:rPr>
          <w:rtl w:val="0"/>
        </w:rPr>
        <w:t xml:space="preserve"> Bộ trưởng Bộ Công Thương đã ban hành QCVN số 03:2019/BCT về an toàn Trạm biến áp phòng nổ sử dụng trong mỏ hầm lò kèm theo Thông tư số 38/2020/TT-BCT ngày 29 tháng 11 năm 2019.</w:t>
      </w:r>
    </w:p>
    <w:p>
      <w:pPr>
        <w:bidi w:val="0"/>
        <w:spacing w:before="120" w:beforeAutospacing="0" w:after="280" w:afterAutospacing="1"/>
        <w:rPr>
          <w:rtl w:val="0"/>
        </w:rPr>
      </w:pPr>
      <w:r>
        <w:rPr>
          <w:rtl w:val="0"/>
        </w:rPr>
        <w:fldChar w:fldCharType="begin"/>
      </w:r>
      <w:r>
        <w:rPr>
          <w:rtl w:val="0"/>
        </w:rPr>
        <w:instrText xml:space="preserve"> HYPERLINK \l "_ftnref7" </w:instrText>
      </w:r>
      <w:r>
        <w:rPr>
          <w:rtl w:val="0"/>
        </w:rPr>
        <w:fldChar w:fldCharType="separate"/>
      </w:r>
      <w:r>
        <w:rPr>
          <w:color w:val="0000FF"/>
          <w:u w:val="single"/>
          <w:rtl w:val="0"/>
        </w:rPr>
        <w:t>5</w:t>
      </w:r>
      <w:r>
        <w:rPr>
          <w:rtl w:val="0"/>
        </w:rPr>
        <w:fldChar w:fldCharType="end"/>
      </w:r>
      <w:r>
        <w:rPr>
          <w:rtl w:val="0"/>
        </w:rPr>
        <w:t xml:space="preserve"> Các mặt hàng được kiểm tra chuyên ngành về an toàn thực phẩm thực hiện theo quy định tại Nghị định số 15/2018/NĐ-CP ngày 02 tháng 02 năm 2018 của Chính phủ quy định chi tiết thi hành một số điều của Luật An toàn thực phẩm và các văn bản quy phạm pháp luật có liên quan.</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